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目 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录</w:t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72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1</w:t>
      </w:r>
      <w:r>
        <w:rPr>
          <w:rFonts w:ascii="黑体" w:hAnsi="黑体" w:eastAsia="黑体"/>
          <w:sz w:val="36"/>
          <w:szCs w:val="36"/>
        </w:rPr>
        <w:t>.</w:t>
      </w:r>
      <w:r>
        <w:rPr>
          <w:rFonts w:hint="eastAsia" w:ascii="黑体" w:hAnsi="黑体" w:eastAsia="黑体"/>
          <w:sz w:val="36"/>
          <w:szCs w:val="36"/>
        </w:rPr>
        <w:t>创新创意类作品申报书</w:t>
      </w:r>
    </w:p>
    <w:p>
      <w:pPr>
        <w:adjustRightInd w:val="0"/>
        <w:snapToGrid w:val="0"/>
        <w:spacing w:line="72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2.创新产品类作品申报书</w:t>
      </w:r>
    </w:p>
    <w:p>
      <w:pPr>
        <w:adjustRightInd w:val="0"/>
        <w:snapToGrid w:val="0"/>
        <w:spacing w:line="720" w:lineRule="auto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3.创新应用类作品申报书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88" w:lineRule="auto"/>
        <w:rPr>
          <w:rFonts w:ascii="宋体" w:hAnsi="宋体" w:cs="Times New Roman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第一届能源电子产业创新大赛</w:t>
      </w:r>
      <w:r>
        <w:rPr>
          <w:rFonts w:hint="eastAsia" w:ascii="方正小标宋简体" w:eastAsia="方正小标宋简体"/>
          <w:bCs/>
          <w:sz w:val="44"/>
          <w:szCs w:val="44"/>
        </w:rPr>
        <w:t>太阳能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光伏分赛道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</w:t>
      </w:r>
      <w:r>
        <w:rPr>
          <w:rFonts w:hint="eastAsia" w:ascii="黑体" w:hAnsi="黑体" w:eastAsia="黑体" w:cs="Courier New"/>
          <w:sz w:val="28"/>
          <w:szCs w:val="28"/>
        </w:rPr>
        <w:t xml:space="preserve"> ——创新创意类</w:t>
      </w: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作品名称：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参赛赛道：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参赛单位：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黑体" w:hAnsi="黑体" w:eastAsia="黑体"/>
          <w:sz w:val="28"/>
          <w:szCs w:val="28"/>
        </w:rPr>
        <w:t>（公章）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参赛负责人：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</w:t>
      </w: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年   月   日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644"/>
        <w:gridCol w:w="635"/>
        <w:gridCol w:w="3610"/>
        <w:gridCol w:w="1276"/>
        <w:gridCol w:w="141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0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作品名称</w:t>
            </w:r>
          </w:p>
        </w:tc>
        <w:tc>
          <w:tcPr>
            <w:tcW w:w="71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20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赛题</w:t>
            </w:r>
          </w:p>
        </w:tc>
        <w:tc>
          <w:tcPr>
            <w:tcW w:w="71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创新创意类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创新产品类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参赛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团队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职称/职称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分类：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（包括但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不限于）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光伏产业链上下游：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□光伏胶膜     □光伏背板      □光伏玻璃      □硅料      □单晶硅棒          □多晶硅锭      □单晶/多晶硅片        □单晶/多晶电池    □晶硅组件      □薄膜光伏组件      □其他类型光伏组件   □逆变器       □光伏发电系统   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光伏支撑技术：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□光伏产品检测技术      □光伏产品认证评价技术  □光伏标准      □光伏供应链溯源体系  □计量技术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光伏制造技术：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□光伏发电量仿真软件      □光伏关键零部件装备        □光伏电站智能清扫设备   □光伏电站自动巡检设备      □光伏电站电能质量综合管理系统        □光伏检测设备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其他：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一、背景介绍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（3</w:t>
      </w:r>
      <w:r>
        <w:rPr>
          <w:rFonts w:ascii="Times New Roman" w:hAnsi="Times New Roman" w:eastAsia="宋体" w:cs="Times New Roman"/>
          <w:sz w:val="32"/>
          <w:szCs w:val="32"/>
        </w:rPr>
        <w:t>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二、作品简介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300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三、作品核心竞争力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（1000字以内，包括紧迫性、前瞻性、独创性、预期经济效益和社会效益、获奖及资助情况等）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四、研究基础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（5</w:t>
      </w:r>
      <w:r>
        <w:rPr>
          <w:rFonts w:ascii="Times New Roman" w:hAnsi="Times New Roman" w:eastAsia="宋体" w:cs="Times New Roman"/>
          <w:sz w:val="32"/>
          <w:szCs w:val="32"/>
        </w:rPr>
        <w:t>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字以内，包括团队及负责人情况、已有的研究基础等）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五、支撑性材料</w:t>
      </w:r>
    </w:p>
    <w:p>
      <w:pPr>
        <w:spacing w:line="5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b/>
          <w:bCs/>
          <w:sz w:val="32"/>
          <w:szCs w:val="32"/>
        </w:rPr>
        <w:sectPr>
          <w:pgSz w:w="11907" w:h="16840"/>
          <w:pgMar w:top="1701" w:right="1418" w:bottom="1418" w:left="1418" w:header="851" w:footer="1043" w:gutter="0"/>
          <w:pgNumType w:fmt="numberInDash" w:start="1"/>
          <w:cols w:space="720" w:num="1"/>
        </w:sect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第一届能源电子产业创新大赛</w:t>
      </w:r>
      <w:r>
        <w:rPr>
          <w:rFonts w:hint="eastAsia" w:ascii="方正小标宋简体" w:eastAsia="方正小标宋简体"/>
          <w:bCs/>
          <w:sz w:val="44"/>
          <w:szCs w:val="44"/>
        </w:rPr>
        <w:t>太阳能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光伏分赛道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</w:t>
      </w:r>
      <w:r>
        <w:rPr>
          <w:rFonts w:hint="eastAsia" w:ascii="黑体" w:hAnsi="黑体" w:eastAsia="黑体" w:cs="Courier New"/>
          <w:sz w:val="28"/>
          <w:szCs w:val="28"/>
        </w:rPr>
        <w:t xml:space="preserve"> ——创新产品类</w:t>
      </w: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作品名称：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参赛赛道：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参赛单位：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黑体" w:hAnsi="黑体" w:eastAsia="黑体"/>
          <w:sz w:val="28"/>
          <w:szCs w:val="28"/>
        </w:rPr>
        <w:t>（公章）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参赛负责人：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</w:t>
      </w: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年   月   日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644"/>
        <w:gridCol w:w="635"/>
        <w:gridCol w:w="3610"/>
        <w:gridCol w:w="1276"/>
        <w:gridCol w:w="141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0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作品名称</w:t>
            </w:r>
          </w:p>
        </w:tc>
        <w:tc>
          <w:tcPr>
            <w:tcW w:w="71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20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赛题</w:t>
            </w:r>
          </w:p>
        </w:tc>
        <w:tc>
          <w:tcPr>
            <w:tcW w:w="71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创新创意类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创新产品类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参赛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团队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职称/职称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分类：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（包括但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不限于）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产品类：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□光伏胶膜     □光伏背板      □光伏玻璃      □硅料      □单晶硅棒          □多晶硅锭      □单晶/多晶硅片        □单晶/多晶电池    □晶硅组件      □薄膜光伏组件      □其他类型光伏组件   □逆变器       □光伏发电系统   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服务类：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□光伏产品检测技术      □光伏产品认证评价技术  □光伏标准      □计量技术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其他：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一、背景介绍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（3</w:t>
      </w:r>
      <w:r>
        <w:rPr>
          <w:rFonts w:ascii="Times New Roman" w:hAnsi="Times New Roman" w:eastAsia="宋体" w:cs="Times New Roman"/>
          <w:sz w:val="32"/>
          <w:szCs w:val="32"/>
        </w:rPr>
        <w:t>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二、作品简介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300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三、作品核心竞争力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（1000字以内，包括独创性、市场预期、先进性、量产能力、成长性、综合性等）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四、研究基础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（5</w:t>
      </w:r>
      <w:r>
        <w:rPr>
          <w:rFonts w:ascii="Times New Roman" w:hAnsi="Times New Roman" w:eastAsia="宋体" w:cs="Times New Roman"/>
          <w:sz w:val="32"/>
          <w:szCs w:val="32"/>
        </w:rPr>
        <w:t>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字以内，包括团队及负责人情况、已有的研究基础等）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五、支撑性材料</w:t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第一届能源电子产业创新大赛</w:t>
      </w:r>
      <w:r>
        <w:rPr>
          <w:rFonts w:hint="eastAsia" w:ascii="方正小标宋简体" w:eastAsia="方正小标宋简体"/>
          <w:bCs/>
          <w:sz w:val="44"/>
          <w:szCs w:val="44"/>
        </w:rPr>
        <w:t>太阳能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光伏分赛道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</w:t>
      </w:r>
      <w:r>
        <w:rPr>
          <w:rFonts w:hint="eastAsia" w:ascii="黑体" w:hAnsi="黑体" w:eastAsia="黑体" w:cs="Courier New"/>
          <w:sz w:val="28"/>
          <w:szCs w:val="28"/>
        </w:rPr>
        <w:t xml:space="preserve"> ——创新应用类</w:t>
      </w: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作品名称：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参赛赛道：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参赛单位：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</w:t>
      </w:r>
      <w:r>
        <w:rPr>
          <w:rFonts w:hint="eastAsia" w:ascii="黑体" w:hAnsi="黑体" w:eastAsia="黑体"/>
          <w:sz w:val="28"/>
          <w:szCs w:val="28"/>
        </w:rPr>
        <w:t>（公章）</w:t>
      </w:r>
    </w:p>
    <w:p>
      <w:pPr>
        <w:pStyle w:val="9"/>
        <w:tabs>
          <w:tab w:val="left" w:pos="8640"/>
        </w:tabs>
        <w:spacing w:line="520" w:lineRule="exact"/>
        <w:ind w:right="428" w:rightChars="204" w:firstLine="56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参赛负责人：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</w:t>
      </w: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napToGrid w:val="0"/>
        <w:spacing w:line="288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Calibri" w:eastAsia="黑体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年   月   日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644"/>
        <w:gridCol w:w="635"/>
        <w:gridCol w:w="3610"/>
        <w:gridCol w:w="1276"/>
        <w:gridCol w:w="141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0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作品名称</w:t>
            </w:r>
          </w:p>
        </w:tc>
        <w:tc>
          <w:tcPr>
            <w:tcW w:w="71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201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赛题</w:t>
            </w:r>
          </w:p>
        </w:tc>
        <w:tc>
          <w:tcPr>
            <w:tcW w:w="7152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Wingdings 2" w:hAnsi="Wingdings 2" w:eastAsia="宋体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创新创意类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创新产品类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创新应用类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参赛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团队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职称/职称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922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10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分类：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（包括但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不限于）</w:t>
            </w: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产品类：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□大型光伏地面电站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分布式光伏系统     □户用智能光伏系统    □跟踪系统     □海上光伏系统     □户用智能光伏系统     □光伏建筑一体化     □仿生光伏构建物     □创意光伏设施     □可移动光伏电源     □光伏交通一体     □光伏汽车融合     □光伏电车充电站     □光伏污水处理站     □光伏充电宝     □穿戴装备     □交通工具等移动能源产品     □农业种植     □渔业养殖     □林业栽培     □光伏汽车     □光伏充电桩     □光伏制氢     □二氧化碳资源化利用  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服务类：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□光伏产品检测技术      □光伏产品认证评价技术  □光伏标准   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其他：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一、背景介绍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（3</w:t>
      </w:r>
      <w:r>
        <w:rPr>
          <w:rFonts w:ascii="Times New Roman" w:hAnsi="Times New Roman" w:eastAsia="宋体" w:cs="Times New Roman"/>
          <w:sz w:val="32"/>
          <w:szCs w:val="32"/>
        </w:rPr>
        <w:t>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二、作品简介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300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三、作品核心竞争力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（1000字以内，包括创新性、行业影响、获奖或参赛情况、经济性、可推广性等）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四、研究基础</w:t>
      </w:r>
    </w:p>
    <w:p>
      <w:pPr>
        <w:spacing w:line="58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（5</w:t>
      </w:r>
      <w:r>
        <w:rPr>
          <w:rFonts w:ascii="Times New Roman" w:hAnsi="Times New Roman" w:eastAsia="宋体" w:cs="Times New Roman"/>
          <w:sz w:val="32"/>
          <w:szCs w:val="32"/>
        </w:rPr>
        <w:t>00</w:t>
      </w:r>
      <w:r>
        <w:rPr>
          <w:rFonts w:hint="eastAsia" w:ascii="Times New Roman" w:hAnsi="Times New Roman" w:eastAsia="宋体" w:cs="Times New Roman"/>
          <w:sz w:val="32"/>
          <w:szCs w:val="32"/>
        </w:rPr>
        <w:t>字以内，包括团队及负责人情况、已有的研究基础等）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五、支撑性材料</w:t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sectPr>
      <w:footerReference r:id="rId3" w:type="default"/>
      <w:pgSz w:w="11906" w:h="16838"/>
      <w:pgMar w:top="1701" w:right="1418" w:bottom="1474" w:left="147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mM0YTcwYjkyYmI2MjVkNDdlZGE5NjBiNDM4MzIifQ=="/>
  </w:docVars>
  <w:rsids>
    <w:rsidRoot w:val="008A3CE0"/>
    <w:rsid w:val="0001148D"/>
    <w:rsid w:val="000720E9"/>
    <w:rsid w:val="000A60BC"/>
    <w:rsid w:val="000F110E"/>
    <w:rsid w:val="00122AEC"/>
    <w:rsid w:val="00165465"/>
    <w:rsid w:val="00194EB4"/>
    <w:rsid w:val="001A6831"/>
    <w:rsid w:val="001B223C"/>
    <w:rsid w:val="001C38DA"/>
    <w:rsid w:val="001F5986"/>
    <w:rsid w:val="00215134"/>
    <w:rsid w:val="00234E19"/>
    <w:rsid w:val="002C24F9"/>
    <w:rsid w:val="002E4AC0"/>
    <w:rsid w:val="00301223"/>
    <w:rsid w:val="003B3EB5"/>
    <w:rsid w:val="003F600C"/>
    <w:rsid w:val="00484016"/>
    <w:rsid w:val="004A30A5"/>
    <w:rsid w:val="004C0AC9"/>
    <w:rsid w:val="004C348E"/>
    <w:rsid w:val="004E2C8C"/>
    <w:rsid w:val="004F274A"/>
    <w:rsid w:val="005206B9"/>
    <w:rsid w:val="00525E65"/>
    <w:rsid w:val="0053167B"/>
    <w:rsid w:val="00663800"/>
    <w:rsid w:val="0066700F"/>
    <w:rsid w:val="006675BE"/>
    <w:rsid w:val="006A2402"/>
    <w:rsid w:val="007324DC"/>
    <w:rsid w:val="0077515B"/>
    <w:rsid w:val="007D4CEB"/>
    <w:rsid w:val="00864C5B"/>
    <w:rsid w:val="00893BF4"/>
    <w:rsid w:val="008A3CE0"/>
    <w:rsid w:val="00915B73"/>
    <w:rsid w:val="00950490"/>
    <w:rsid w:val="009E0797"/>
    <w:rsid w:val="00A0574C"/>
    <w:rsid w:val="00A8422B"/>
    <w:rsid w:val="00AA5442"/>
    <w:rsid w:val="00AB4CE1"/>
    <w:rsid w:val="00AB6702"/>
    <w:rsid w:val="00B30DF1"/>
    <w:rsid w:val="00B535F1"/>
    <w:rsid w:val="00B6333B"/>
    <w:rsid w:val="00B80080"/>
    <w:rsid w:val="00BA0A2D"/>
    <w:rsid w:val="00BA6B55"/>
    <w:rsid w:val="00BC07D9"/>
    <w:rsid w:val="00BC2B71"/>
    <w:rsid w:val="00BF0ECC"/>
    <w:rsid w:val="00C81F0C"/>
    <w:rsid w:val="00D16F13"/>
    <w:rsid w:val="00D809CB"/>
    <w:rsid w:val="00DA2AAB"/>
    <w:rsid w:val="00DC5D13"/>
    <w:rsid w:val="00DD7809"/>
    <w:rsid w:val="00E11DD0"/>
    <w:rsid w:val="00E55CC2"/>
    <w:rsid w:val="00E904B8"/>
    <w:rsid w:val="00E91637"/>
    <w:rsid w:val="00EF693C"/>
    <w:rsid w:val="00F02AB9"/>
    <w:rsid w:val="00F31F3C"/>
    <w:rsid w:val="00F3273D"/>
    <w:rsid w:val="00F66A87"/>
    <w:rsid w:val="00F73485"/>
    <w:rsid w:val="02784228"/>
    <w:rsid w:val="03A30592"/>
    <w:rsid w:val="056B77C2"/>
    <w:rsid w:val="05EA4B8A"/>
    <w:rsid w:val="07D96C64"/>
    <w:rsid w:val="0A3B59B5"/>
    <w:rsid w:val="0AD46959"/>
    <w:rsid w:val="0B582596"/>
    <w:rsid w:val="0FFC5BE6"/>
    <w:rsid w:val="10D821AF"/>
    <w:rsid w:val="11FA788B"/>
    <w:rsid w:val="13AF2CE2"/>
    <w:rsid w:val="16EF2001"/>
    <w:rsid w:val="17B84AE8"/>
    <w:rsid w:val="187C2966"/>
    <w:rsid w:val="1BE37C5A"/>
    <w:rsid w:val="1C850D11"/>
    <w:rsid w:val="20016901"/>
    <w:rsid w:val="20332E8D"/>
    <w:rsid w:val="211663DC"/>
    <w:rsid w:val="21E12E8E"/>
    <w:rsid w:val="23533917"/>
    <w:rsid w:val="25E90563"/>
    <w:rsid w:val="270F224B"/>
    <w:rsid w:val="278468F4"/>
    <w:rsid w:val="27870033"/>
    <w:rsid w:val="27AC14F2"/>
    <w:rsid w:val="2D86319C"/>
    <w:rsid w:val="31CC2FDA"/>
    <w:rsid w:val="33AD3470"/>
    <w:rsid w:val="378C4D7F"/>
    <w:rsid w:val="3AC0768C"/>
    <w:rsid w:val="3AEF7F72"/>
    <w:rsid w:val="42BE6BA7"/>
    <w:rsid w:val="43FB5103"/>
    <w:rsid w:val="43FE2640"/>
    <w:rsid w:val="481C180D"/>
    <w:rsid w:val="484349F5"/>
    <w:rsid w:val="4867383D"/>
    <w:rsid w:val="49AE2DA6"/>
    <w:rsid w:val="49E50EBD"/>
    <w:rsid w:val="4E0F02B7"/>
    <w:rsid w:val="4F351F9F"/>
    <w:rsid w:val="5156444F"/>
    <w:rsid w:val="51644DBE"/>
    <w:rsid w:val="536E5A80"/>
    <w:rsid w:val="5604091D"/>
    <w:rsid w:val="5AEF2F4C"/>
    <w:rsid w:val="5B885B4D"/>
    <w:rsid w:val="5DB20E44"/>
    <w:rsid w:val="60D1764E"/>
    <w:rsid w:val="646D2593"/>
    <w:rsid w:val="648D42B2"/>
    <w:rsid w:val="66CC0FE3"/>
    <w:rsid w:val="693B41FE"/>
    <w:rsid w:val="6A3C6480"/>
    <w:rsid w:val="6A8E035E"/>
    <w:rsid w:val="6B144D07"/>
    <w:rsid w:val="6C8C3392"/>
    <w:rsid w:val="6CD116C2"/>
    <w:rsid w:val="719A3A8C"/>
    <w:rsid w:val="71A16BC9"/>
    <w:rsid w:val="72936E59"/>
    <w:rsid w:val="75713487"/>
    <w:rsid w:val="77C27899"/>
    <w:rsid w:val="79DD6C0C"/>
    <w:rsid w:val="7AA339B1"/>
    <w:rsid w:val="7C444D20"/>
    <w:rsid w:val="7DA0067C"/>
    <w:rsid w:val="7DA138D1"/>
    <w:rsid w:val="7DEE13E8"/>
    <w:rsid w:val="7E6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link w:val="2"/>
    <w:semiHidden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FF07-E9A0-4D21-97C4-FF2CE2BA1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2324</Characters>
  <Lines>19</Lines>
  <Paragraphs>5</Paragraphs>
  <TotalTime>11</TotalTime>
  <ScaleCrop>false</ScaleCrop>
  <LinksUpToDate>false</LinksUpToDate>
  <CharactersWithSpaces>2726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2022-07-31T16:22:00Z</dcterms:created>
  <dc:creator>zzh</dc:creator>
  <cp:lastModifiedBy>微信用户</cp:lastModifiedBy>
  <dcterms:modified xsi:type="dcterms:W3CDTF">2023-10-18T01:21:56Z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709241B8B79C4D6A86E477C8B9CF4331_13</vt:lpwstr>
  </property>
</Properties>
</file>