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Autospacing="0" w:afterAutospacing="0" w:line="561" w:lineRule="atLeast"/>
        <w:ind w:firstLine="315" w:firstLineChars="98"/>
        <w:jc w:val="center"/>
        <w:rPr>
          <w:rFonts w:asciiTheme="majorEastAsia" w:hAnsiTheme="majorEastAsia" w:eastAsiaTheme="majorEastAsia"/>
          <w:b/>
          <w:sz w:val="32"/>
          <w:szCs w:val="32"/>
          <w:highlight w:val="none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关于开展天津科技大学首</w:t>
      </w:r>
      <w:r>
        <w:rPr>
          <w:rFonts w:hint="eastAsia" w:asciiTheme="majorEastAsia" w:hAnsiTheme="majorEastAsia" w:eastAsiaTheme="majorEastAsia"/>
          <w:b/>
          <w:sz w:val="32"/>
          <w:szCs w:val="32"/>
          <w:highlight w:val="none"/>
        </w:rPr>
        <w:t>批创新型建设课程申报工作的通知</w:t>
      </w:r>
    </w:p>
    <w:p>
      <w:pPr>
        <w:pStyle w:val="2"/>
        <w:spacing w:beforeAutospacing="0" w:afterAutospacing="0" w:line="561" w:lineRule="atLeast"/>
        <w:jc w:val="both"/>
        <w:rPr>
          <w:rFonts w:ascii="仿宋_GB2312" w:hAnsi="Times New Roman" w:eastAsia="仿宋_GB2312"/>
          <w:kern w:val="32"/>
          <w:sz w:val="28"/>
          <w:szCs w:val="28"/>
          <w:highlight w:val="none"/>
        </w:rPr>
      </w:pPr>
    </w:p>
    <w:p>
      <w:pPr>
        <w:pStyle w:val="2"/>
        <w:spacing w:beforeAutospacing="0" w:afterAutospacing="0" w:line="561" w:lineRule="atLeast"/>
        <w:jc w:val="both"/>
        <w:rPr>
          <w:rFonts w:ascii="仿宋_GB2312" w:hAnsi="Times New Roman" w:eastAsia="仿宋_GB2312"/>
          <w:kern w:val="32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kern w:val="32"/>
          <w:sz w:val="28"/>
          <w:szCs w:val="28"/>
          <w:highlight w:val="none"/>
        </w:rPr>
        <w:t>各学院（部）：</w:t>
      </w:r>
    </w:p>
    <w:p>
      <w:pPr>
        <w:pStyle w:val="2"/>
        <w:spacing w:beforeAutospacing="0" w:afterAutospacing="0" w:line="561" w:lineRule="atLeast"/>
        <w:ind w:firstLine="560" w:firstLineChars="200"/>
        <w:jc w:val="both"/>
        <w:rPr>
          <w:rFonts w:ascii="仿宋_GB2312" w:hAnsi="Times New Roman" w:eastAsia="仿宋_GB2312"/>
          <w:kern w:val="32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kern w:val="32"/>
          <w:sz w:val="28"/>
          <w:szCs w:val="28"/>
          <w:highlight w:val="none"/>
        </w:rPr>
        <w:t>为进一步深化我校学分制改革，持续提升本科人才培养质量，不断推进本科教育理念创新和模式创新，深入推进“课堂革命”，加强“四新”建设、产教科教融合，注重培养学生创新精神和创新能力，建设一批具有科大特色的创新示范课程，学校计划开展首批创新型建设课程申报工作，具体事宜通知如下。</w:t>
      </w:r>
    </w:p>
    <w:p>
      <w:pPr>
        <w:widowControl/>
        <w:ind w:firstLine="560"/>
        <w:jc w:val="left"/>
        <w:rPr>
          <w:rFonts w:ascii="仿宋_GB2312" w:hAnsi="Times New Roman" w:eastAsia="仿宋_GB2312"/>
          <w:kern w:val="32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kern w:val="32"/>
          <w:sz w:val="28"/>
          <w:szCs w:val="28"/>
          <w:highlight w:val="none"/>
        </w:rPr>
        <w:t>一、申报范围及方法</w:t>
      </w:r>
    </w:p>
    <w:p>
      <w:pPr>
        <w:ind w:firstLine="560" w:firstLineChars="200"/>
        <w:jc w:val="left"/>
        <w:rPr>
          <w:rFonts w:ascii="仿宋_GB2312" w:hAnsi="Times New Roman" w:eastAsia="仿宋_GB2312"/>
          <w:kern w:val="32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kern w:val="32"/>
          <w:sz w:val="28"/>
          <w:szCs w:val="28"/>
          <w:highlight w:val="none"/>
        </w:rPr>
        <w:t>纳入2021、2022人才培养方案且设置学分的本科课程均可申报，包括独立设置的本科理论课程、实验实践课程等。</w:t>
      </w:r>
    </w:p>
    <w:p>
      <w:pPr>
        <w:pStyle w:val="2"/>
        <w:spacing w:beforeAutospacing="0" w:afterAutospacing="0" w:line="561" w:lineRule="atLeast"/>
        <w:ind w:firstLine="510"/>
        <w:jc w:val="both"/>
        <w:rPr>
          <w:rFonts w:ascii="仿宋_GB2312" w:hAnsi="Times New Roman" w:eastAsia="仿宋_GB2312"/>
          <w:kern w:val="32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kern w:val="32"/>
          <w:sz w:val="28"/>
          <w:szCs w:val="28"/>
          <w:highlight w:val="none"/>
        </w:rPr>
        <w:t>创新</w:t>
      </w:r>
      <w:r>
        <w:rPr>
          <w:rFonts w:hint="eastAsia" w:ascii="仿宋_GB2312" w:hAnsi="Times New Roman" w:eastAsia="仿宋_GB2312"/>
          <w:kern w:val="32"/>
          <w:sz w:val="28"/>
          <w:szCs w:val="28"/>
          <w:highlight w:val="none"/>
          <w:lang w:eastAsia="zh-CN"/>
        </w:rPr>
        <w:t>型</w:t>
      </w:r>
      <w:bookmarkStart w:id="0" w:name="_GoBack"/>
      <w:bookmarkEnd w:id="0"/>
      <w:r>
        <w:rPr>
          <w:rFonts w:hint="eastAsia" w:ascii="仿宋_GB2312" w:hAnsi="Times New Roman" w:eastAsia="仿宋_GB2312"/>
          <w:kern w:val="32"/>
          <w:sz w:val="28"/>
          <w:szCs w:val="28"/>
          <w:highlight w:val="none"/>
        </w:rPr>
        <w:t>课程采用先建设应用、后评价认定的方式，建设期为1年。建设期满，经学校审核通过后，认定为天津科技大学本科创新课。</w:t>
      </w:r>
    </w:p>
    <w:p>
      <w:pPr>
        <w:pStyle w:val="2"/>
        <w:spacing w:beforeAutospacing="0" w:afterAutospacing="0" w:line="480" w:lineRule="auto"/>
        <w:ind w:firstLine="480"/>
        <w:textAlignment w:val="baseline"/>
        <w:rPr>
          <w:rFonts w:ascii="仿宋_GB2312" w:hAnsi="Times New Roman" w:eastAsia="仿宋_GB2312"/>
          <w:kern w:val="32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kern w:val="32"/>
          <w:sz w:val="28"/>
          <w:szCs w:val="28"/>
          <w:highlight w:val="none"/>
        </w:rPr>
        <w:t>二、课程类型及标准</w:t>
      </w:r>
    </w:p>
    <w:p>
      <w:pPr>
        <w:pStyle w:val="2"/>
        <w:spacing w:beforeAutospacing="0" w:afterAutospacing="0" w:line="561" w:lineRule="atLeast"/>
        <w:ind w:firstLine="560" w:firstLineChars="200"/>
        <w:jc w:val="both"/>
        <w:rPr>
          <w:rFonts w:ascii="仿宋_GB2312" w:hAnsi="Times New Roman" w:eastAsia="仿宋_GB2312"/>
          <w:kern w:val="32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kern w:val="32"/>
          <w:sz w:val="28"/>
          <w:szCs w:val="28"/>
          <w:highlight w:val="none"/>
        </w:rPr>
        <w:t xml:space="preserve">1.研究型课程。研究型课程旨在推进将最新的科研成果、产业行业前沿技术引入课程教学，将理论学习与项目研究实践深度结合，以专题讲授、问题研讨、项目研究、报告答辩、论文撰写等多种形式开展课程教学改革，培养学生从事创新研究所需的综合能力。 </w:t>
      </w:r>
    </w:p>
    <w:p>
      <w:pPr>
        <w:spacing w:line="480" w:lineRule="atLeast"/>
        <w:ind w:firstLine="480"/>
        <w:textAlignment w:val="baseline"/>
        <w:rPr>
          <w:rFonts w:ascii="仿宋_GB2312" w:hAnsi="Times New Roman" w:eastAsia="仿宋_GB2312"/>
          <w:kern w:val="32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kern w:val="32"/>
          <w:sz w:val="28"/>
          <w:szCs w:val="28"/>
          <w:highlight w:val="none"/>
        </w:rPr>
        <w:t>2.校企合作课程。校企合作课程旨在推进学校与行业企业合作共建或共同讲授课程，将企业优质资源引入融合到课程教学中，强化理论学习与实际应用的结合。课程设计能体现企业的核心技术或最前沿的技术，教学资源引入行业企业已经实施或正在实施的典型项目、工程案例等，企业有可供学生实习、实训的平台并进行共享，建立稳定的校企合作教学团队，行业企业教师原则上不少于2名。</w:t>
      </w:r>
    </w:p>
    <w:p>
      <w:pPr>
        <w:ind w:firstLine="560" w:firstLineChars="200"/>
        <w:rPr>
          <w:rFonts w:ascii="仿宋_GB2312" w:hAnsi="Times New Roman" w:eastAsia="仿宋_GB2312"/>
          <w:kern w:val="32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kern w:val="32"/>
          <w:sz w:val="28"/>
          <w:szCs w:val="28"/>
          <w:highlight w:val="none"/>
        </w:rPr>
        <w:t>3.跨学科课程。跨学科课程是由有内在联系的不同学科合并或融合而构建的课程。在课程设计上应充分体现学科交叉与融合，采用交互式、启发式、探究式等教学手段,应组建跨学院、跨学科教学团队进行跨学科课程建设。</w:t>
      </w:r>
    </w:p>
    <w:p>
      <w:pPr>
        <w:pStyle w:val="2"/>
        <w:spacing w:beforeAutospacing="0" w:afterAutospacing="0"/>
        <w:ind w:firstLine="480"/>
        <w:rPr>
          <w:rFonts w:ascii="仿宋_GB2312" w:hAnsi="Times New Roman" w:eastAsia="仿宋_GB2312"/>
          <w:kern w:val="32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kern w:val="32"/>
          <w:sz w:val="28"/>
          <w:szCs w:val="28"/>
          <w:highlight w:val="none"/>
        </w:rPr>
        <w:t>4.教学创新示范课程。课程创新特色鲜明，在教学理念、教学设计、教学内容、教学方法等方面改革创新突出，能结合学校学科专业优势和特色，能充分利用现代信息技术，增强学生的创新精神。</w:t>
      </w:r>
    </w:p>
    <w:p>
      <w:pPr>
        <w:pStyle w:val="5"/>
        <w:spacing w:line="360" w:lineRule="auto"/>
        <w:ind w:left="360" w:firstLine="0" w:firstLineChars="0"/>
        <w:rPr>
          <w:rFonts w:ascii="仿宋_GB2312" w:hAnsi="Times New Roman" w:eastAsia="仿宋_GB2312" w:cs="Times New Roman"/>
          <w:kern w:val="32"/>
          <w:sz w:val="28"/>
          <w:szCs w:val="28"/>
          <w:highlight w:val="none"/>
        </w:rPr>
      </w:pPr>
      <w:r>
        <w:rPr>
          <w:rFonts w:hint="eastAsia" w:ascii="仿宋_GB2312" w:hAnsi="Times New Roman" w:eastAsia="仿宋_GB2312" w:cs="Times New Roman"/>
          <w:kern w:val="32"/>
          <w:sz w:val="28"/>
          <w:szCs w:val="28"/>
          <w:highlight w:val="none"/>
        </w:rPr>
        <w:t>三、申报要求</w:t>
      </w:r>
    </w:p>
    <w:p>
      <w:pPr>
        <w:spacing w:line="360" w:lineRule="auto"/>
        <w:ind w:firstLine="560" w:firstLineChars="200"/>
        <w:rPr>
          <w:rFonts w:ascii="仿宋_GB2312" w:hAnsi="Times New Roman" w:eastAsia="仿宋_GB2312"/>
          <w:kern w:val="32"/>
          <w:sz w:val="28"/>
          <w:szCs w:val="28"/>
          <w:highlight w:val="none"/>
        </w:rPr>
      </w:pPr>
      <w:r>
        <w:rPr>
          <w:rFonts w:hint="eastAsia" w:ascii="仿宋_GB2312" w:hAnsi="Times New Roman" w:eastAsia="仿宋_GB2312"/>
          <w:kern w:val="32"/>
          <w:sz w:val="28"/>
          <w:szCs w:val="28"/>
          <w:highlight w:val="none"/>
        </w:rPr>
        <w:t>1.请各学院严格把关，限额择优推荐，并对推荐课程进行排序，同时鼓励一流专业、工程教育认证专业、现代产业学院、特色化示范性软件学院、新工科、新文科等专业积极申报。</w:t>
      </w:r>
    </w:p>
    <w:p>
      <w:pPr>
        <w:adjustRightInd w:val="0"/>
        <w:snapToGrid w:val="0"/>
        <w:spacing w:line="324" w:lineRule="auto"/>
        <w:ind w:firstLine="560" w:firstLineChars="200"/>
        <w:rPr>
          <w:rFonts w:ascii="仿宋_GB2312" w:hAnsi="Times New Roman" w:eastAsia="仿宋_GB2312"/>
          <w:kern w:val="32"/>
          <w:sz w:val="28"/>
          <w:szCs w:val="28"/>
        </w:rPr>
      </w:pPr>
      <w:r>
        <w:rPr>
          <w:rFonts w:hint="eastAsia" w:ascii="仿宋_GB2312" w:hAnsi="Times New Roman" w:eastAsia="仿宋_GB2312"/>
          <w:kern w:val="32"/>
          <w:sz w:val="28"/>
          <w:szCs w:val="28"/>
          <w:highlight w:val="none"/>
        </w:rPr>
        <w:t>2.各学院申报名额见附件，请以学院为单位于2022年10月3</w:t>
      </w:r>
      <w:r>
        <w:rPr>
          <w:rFonts w:hint="eastAsia" w:ascii="仿宋_GB2312" w:hAnsi="Times New Roman" w:eastAsia="仿宋_GB2312"/>
          <w:kern w:val="32"/>
          <w:sz w:val="28"/>
          <w:szCs w:val="28"/>
        </w:rPr>
        <w:t>1日前将课程申报书、排序汇总表（word版、加盖学院公章的pdf扫描件），及课程支撑材料（完整的教学大纲、教案及10分钟说课视频)电子版发送至yuanfang@tust.edu.cn。</w:t>
      </w:r>
    </w:p>
    <w:p>
      <w:pPr>
        <w:adjustRightInd w:val="0"/>
        <w:snapToGrid w:val="0"/>
        <w:spacing w:line="324" w:lineRule="auto"/>
        <w:ind w:firstLine="560" w:firstLineChars="200"/>
        <w:rPr>
          <w:rFonts w:ascii="仿宋_GB2312" w:hAnsi="Times New Roman" w:eastAsia="仿宋_GB2312"/>
          <w:kern w:val="32"/>
          <w:sz w:val="28"/>
          <w:szCs w:val="28"/>
        </w:rPr>
      </w:pPr>
      <w:r>
        <w:rPr>
          <w:rFonts w:hint="eastAsia" w:ascii="仿宋_GB2312" w:hAnsi="Times New Roman" w:eastAsia="仿宋_GB2312"/>
          <w:kern w:val="32"/>
          <w:sz w:val="28"/>
          <w:szCs w:val="28"/>
        </w:rPr>
        <w:t>联系人：邱强   60600259；袁芳   60602991</w:t>
      </w:r>
    </w:p>
    <w:p>
      <w:pPr>
        <w:spacing w:line="360" w:lineRule="auto"/>
        <w:rPr>
          <w:rFonts w:ascii="仿宋_GB2312" w:hAnsi="Times New Roman" w:eastAsia="仿宋_GB2312"/>
          <w:kern w:val="32"/>
          <w:sz w:val="28"/>
          <w:szCs w:val="28"/>
        </w:rPr>
      </w:pPr>
      <w:r>
        <w:rPr>
          <w:rFonts w:hint="eastAsia" w:ascii="仿宋_GB2312" w:hAnsi="Times New Roman" w:eastAsia="仿宋_GB2312"/>
          <w:kern w:val="32"/>
          <w:sz w:val="28"/>
          <w:szCs w:val="28"/>
        </w:rPr>
        <w:t xml:space="preserve">                                            教务处</w:t>
      </w:r>
    </w:p>
    <w:p>
      <w:pPr>
        <w:rPr>
          <w:rFonts w:ascii="仿宋_GB2312" w:hAnsi="Times New Roman" w:eastAsia="仿宋_GB2312"/>
          <w:kern w:val="32"/>
          <w:sz w:val="28"/>
          <w:szCs w:val="28"/>
        </w:rPr>
      </w:pPr>
      <w:r>
        <w:rPr>
          <w:rFonts w:hint="eastAsia" w:ascii="仿宋_GB2312" w:hAnsi="Times New Roman" w:eastAsia="仿宋_GB2312"/>
          <w:kern w:val="32"/>
          <w:sz w:val="28"/>
          <w:szCs w:val="28"/>
        </w:rPr>
        <w:t xml:space="preserve">                                        2022年10月11日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MjI5ODJjZTRiZThjMWIwZjY3YmQ2YjA2NDYwOWQifQ=="/>
  </w:docVars>
  <w:rsids>
    <w:rsidRoot w:val="0F67013F"/>
    <w:rsid w:val="00657580"/>
    <w:rsid w:val="008C5FCA"/>
    <w:rsid w:val="00D32C05"/>
    <w:rsid w:val="00DF6CB8"/>
    <w:rsid w:val="00E8418B"/>
    <w:rsid w:val="0D833EB6"/>
    <w:rsid w:val="0EA7186A"/>
    <w:rsid w:val="0F2C2B84"/>
    <w:rsid w:val="0F67013F"/>
    <w:rsid w:val="2AE93841"/>
    <w:rsid w:val="2F38471E"/>
    <w:rsid w:val="30BC3001"/>
    <w:rsid w:val="4C507CF2"/>
    <w:rsid w:val="559F1AED"/>
    <w:rsid w:val="5E5B4E53"/>
    <w:rsid w:val="630B0CA2"/>
    <w:rsid w:val="6D2B4737"/>
    <w:rsid w:val="72CC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5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959</Words>
  <Characters>1020</Characters>
  <Lines>8</Lines>
  <Paragraphs>2</Paragraphs>
  <TotalTime>10</TotalTime>
  <ScaleCrop>false</ScaleCrop>
  <LinksUpToDate>false</LinksUpToDate>
  <CharactersWithSpaces>1111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2022-10-10T01:40:00Z</dcterms:created>
  <dc:creator>AQIULL</dc:creator>
  <cp:lastModifiedBy>AQIULL</cp:lastModifiedBy>
  <dcterms:modified xsi:type="dcterms:W3CDTF">2022-10-11T02:44:14Z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1EA91DBA00DF4D80AD3829194CE0E57E</vt:lpwstr>
  </property>
</Properties>
</file>