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化工学院：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2.文字部分的院长、教学院长、专业负责人签字。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应用化学：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2.学科基础课程中的集中实践统一到后面的集中实践教学环节中。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3.集中实践教学环节中的****实验等归入哪类，请考虑。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工科课程较多，理学不明显；增加实践课程，专业性课程提前。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材料化学：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2.集中实践教学环节中的课程设计、**实验等归入哪类，请考虑。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应该突出针对哪些材料，专业特色不强，工科特点明显。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高分子：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2.建议将专业选修课程按照模板设成A、B、C、D、E模块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3.个性化课程栏里不允许放置专业类课程，请调整。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增加材料配比方面的课程。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化学工程工艺：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1.劳动教育、就业指导、就业指导实践课程按照统一要求修改。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2.文字部分的“</w:t>
      </w:r>
      <w:r>
        <w:rPr>
          <w:rFonts w:hint="eastAsia" w:ascii="宋体" w:hAnsi="宋体"/>
          <w:bCs/>
          <w:sz w:val="24"/>
          <w:szCs w:val="24"/>
        </w:rPr>
        <w:t>课程体系结构与各类课程毕业学分要求</w:t>
      </w:r>
      <w:r>
        <w:rPr>
          <w:rFonts w:hint="eastAsia" w:ascii="宋体" w:hAnsi="宋体"/>
          <w:bCs/>
          <w:sz w:val="24"/>
          <w:szCs w:val="24"/>
          <w:lang w:eastAsia="zh-CN"/>
        </w:rPr>
        <w:t>”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这个表是统一的，不要更改表的结构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3.集中实践教学环节中的**实验等归入哪类，请考虑。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4.个性化课程栏里不允许放置专业类课程，请调整。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5.文字部分的院长、教学院长、专业负责人签字。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专家论证意见：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核心课程显少，化工传递课是基础课。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8533E"/>
    <w:rsid w:val="2D287DC4"/>
    <w:rsid w:val="3A2949DD"/>
    <w:rsid w:val="3FB8728C"/>
    <w:rsid w:val="5B894BAC"/>
    <w:rsid w:val="62D0724C"/>
    <w:rsid w:val="6504085C"/>
    <w:rsid w:val="74DC6453"/>
    <w:rsid w:val="7732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2021-08-06T07:50:00Z</dcterms:created>
  <dc:creator>Think</dc:creator>
  <cp:lastModifiedBy>Think</cp:lastModifiedBy>
  <dcterms:modified xsi:type="dcterms:W3CDTF">2021-08-12T02:10:25Z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4E1DACCB0BD84A4C96980C7789820F27</vt:lpwstr>
  </property>
</Properties>
</file>