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1120" w:hanging="1120" w:hangingChars="350"/>
        <w:rPr>
          <w:rFonts w:hint="eastAsia" w:hAnsi="宋体"/>
          <w:szCs w:val="32"/>
        </w:rPr>
      </w:pPr>
      <w:r>
        <w:rPr>
          <w:rFonts w:hint="eastAsia" w:hAnsi="宋体"/>
          <w:szCs w:val="32"/>
        </w:rPr>
        <w:t>附件</w:t>
      </w:r>
      <w:r>
        <w:rPr>
          <w:rFonts w:hint="eastAsia"/>
          <w:szCs w:val="32"/>
        </w:rPr>
        <w:t>2</w:t>
      </w:r>
    </w:p>
    <w:p>
      <w:pPr>
        <w:adjustRightInd w:val="0"/>
        <w:snapToGrid w:val="0"/>
        <w:spacing w:line="560" w:lineRule="exact"/>
        <w:jc w:val="center"/>
        <w:rPr>
          <w:rFonts w:hint="eastAsia" w:ascii="宋体" w:hAnsi="宋体" w:eastAsia="宋体"/>
          <w:b/>
          <w:sz w:val="36"/>
          <w:szCs w:val="36"/>
        </w:rPr>
      </w:pPr>
      <w:r>
        <w:rPr>
          <w:rFonts w:hint="eastAsia" w:ascii="宋体" w:hAnsi="宋体" w:eastAsia="宋体"/>
          <w:b/>
          <w:sz w:val="36"/>
          <w:szCs w:val="36"/>
        </w:rPr>
        <w:t>天津科技大学</w:t>
      </w:r>
    </w:p>
    <w:p>
      <w:pPr>
        <w:adjustRightInd w:val="0"/>
        <w:snapToGrid w:val="0"/>
        <w:spacing w:line="560" w:lineRule="exact"/>
        <w:jc w:val="center"/>
        <w:rPr>
          <w:rFonts w:hint="eastAsia" w:ascii="宋体" w:hAnsi="宋体" w:eastAsia="宋体"/>
          <w:b/>
          <w:sz w:val="36"/>
          <w:szCs w:val="36"/>
        </w:rPr>
      </w:pPr>
      <w:r>
        <w:rPr>
          <w:rFonts w:hint="eastAsia" w:ascii="宋体" w:hAnsi="宋体" w:eastAsia="宋体"/>
          <w:b/>
          <w:sz w:val="36"/>
          <w:szCs w:val="36"/>
        </w:rPr>
        <w:t>数学和英语竞赛管理与实施办法（试行）</w:t>
      </w:r>
    </w:p>
    <w:p>
      <w:pPr>
        <w:widowControl/>
        <w:spacing w:line="330" w:lineRule="atLeast"/>
        <w:ind w:firstLine="400" w:firstLineChars="200"/>
        <w:jc w:val="left"/>
        <w:rPr>
          <w:rFonts w:hint="eastAsia" w:ascii="宋体" w:hAnsi="宋体" w:cs="宋体"/>
          <w:color w:val="295B97"/>
          <w:kern w:val="0"/>
          <w:sz w:val="20"/>
          <w:szCs w:val="20"/>
        </w:rPr>
      </w:pPr>
    </w:p>
    <w:p>
      <w:pPr>
        <w:adjustRightInd w:val="0"/>
        <w:snapToGrid w:val="0"/>
        <w:spacing w:line="560" w:lineRule="exact"/>
        <w:ind w:firstLine="640" w:firstLineChars="200"/>
        <w:rPr>
          <w:rFonts w:hint="eastAsia"/>
          <w:szCs w:val="32"/>
        </w:rPr>
      </w:pPr>
      <w:r>
        <w:rPr>
          <w:rFonts w:hint="eastAsia"/>
          <w:szCs w:val="32"/>
        </w:rPr>
        <w:t>大学生数学和英语竞赛是学校实践教学工作的一项重要内容，是提高学生综合素质，培养学生创新精神与实践能力的有效手段。为全面增强我校学生综合素质，提高竞赛水平，激励更多学生、教师参加到大学数学和英语竞赛工作中来，促进创新人才培养，特制定本办法。</w:t>
      </w:r>
    </w:p>
    <w:p>
      <w:pPr>
        <w:adjustRightInd w:val="0"/>
        <w:snapToGrid w:val="0"/>
        <w:spacing w:line="560" w:lineRule="exact"/>
        <w:ind w:firstLine="562" w:firstLineChars="175"/>
        <w:rPr>
          <w:rFonts w:hint="eastAsia" w:ascii="黑体" w:eastAsia="黑体"/>
          <w:b/>
          <w:szCs w:val="32"/>
        </w:rPr>
      </w:pPr>
      <w:r>
        <w:rPr>
          <w:rFonts w:hint="eastAsia" w:ascii="黑体" w:eastAsia="黑体"/>
          <w:b/>
          <w:szCs w:val="32"/>
        </w:rPr>
        <w:t>一、竞赛组织</w:t>
      </w:r>
    </w:p>
    <w:p>
      <w:pPr>
        <w:adjustRightInd w:val="0"/>
        <w:snapToGrid w:val="0"/>
        <w:spacing w:line="560" w:lineRule="exact"/>
        <w:ind w:firstLine="560" w:firstLineChars="175"/>
        <w:rPr>
          <w:rFonts w:hint="eastAsia"/>
          <w:szCs w:val="32"/>
        </w:rPr>
      </w:pPr>
      <w:r>
        <w:rPr>
          <w:rFonts w:hint="eastAsia"/>
          <w:szCs w:val="32"/>
        </w:rPr>
        <w:t>竞赛由教务处和行业卓越人才实验班（以下简称实验班）高等数学和大学英语教学团队共同组织完成。</w:t>
      </w:r>
    </w:p>
    <w:p>
      <w:pPr>
        <w:adjustRightInd w:val="0"/>
        <w:snapToGrid w:val="0"/>
        <w:spacing w:line="560" w:lineRule="exact"/>
        <w:ind w:firstLine="640" w:firstLineChars="200"/>
        <w:rPr>
          <w:rFonts w:hint="eastAsia"/>
          <w:szCs w:val="32"/>
        </w:rPr>
      </w:pPr>
      <w:r>
        <w:rPr>
          <w:rFonts w:hint="eastAsia"/>
          <w:szCs w:val="32"/>
        </w:rPr>
        <w:t>1.教务处负责对竞赛的管理，包括竞赛办法的制定、指导教师工作量的计算、获奖学生和指导教师的奖励、竞赛成绩的公布、组织竞赛经验交流等。</w:t>
      </w:r>
    </w:p>
    <w:p>
      <w:pPr>
        <w:adjustRightInd w:val="0"/>
        <w:snapToGrid w:val="0"/>
        <w:spacing w:line="560" w:lineRule="exact"/>
        <w:ind w:firstLine="720" w:firstLineChars="225"/>
        <w:rPr>
          <w:rFonts w:hint="eastAsia"/>
          <w:szCs w:val="32"/>
        </w:rPr>
      </w:pPr>
      <w:r>
        <w:rPr>
          <w:rFonts w:hint="eastAsia"/>
          <w:szCs w:val="32"/>
        </w:rPr>
        <w:t>2.实验班高等数学和大学英语类课程教学团队与教务处共同负责两类竞赛的具体实施，包括竞赛的宣传发动、对选手的培训（辅导）、竞赛的组织以及竞赛工作的总结等。</w:t>
      </w:r>
    </w:p>
    <w:p>
      <w:pPr>
        <w:adjustRightInd w:val="0"/>
        <w:snapToGrid w:val="0"/>
        <w:spacing w:line="560" w:lineRule="exact"/>
        <w:ind w:firstLine="630" w:firstLineChars="196"/>
        <w:rPr>
          <w:rFonts w:hint="eastAsia" w:ascii="黑体" w:eastAsia="黑体"/>
          <w:b/>
          <w:szCs w:val="32"/>
        </w:rPr>
      </w:pPr>
      <w:r>
        <w:rPr>
          <w:rFonts w:hint="eastAsia" w:ascii="黑体" w:eastAsia="黑体"/>
          <w:b/>
          <w:szCs w:val="32"/>
        </w:rPr>
        <w:t>二、大学生数学竞赛的组织实施</w:t>
      </w:r>
    </w:p>
    <w:p>
      <w:pPr>
        <w:adjustRightInd w:val="0"/>
        <w:snapToGrid w:val="0"/>
        <w:spacing w:line="560" w:lineRule="exact"/>
        <w:ind w:firstLine="627" w:firstLineChars="196"/>
        <w:rPr>
          <w:rFonts w:hint="eastAsia"/>
          <w:bCs/>
          <w:szCs w:val="32"/>
        </w:rPr>
      </w:pPr>
      <w:r>
        <w:rPr>
          <w:rFonts w:hint="eastAsia"/>
          <w:bCs/>
          <w:szCs w:val="32"/>
        </w:rPr>
        <w:t>1.增设数学类通识选修课，强化竞赛培训</w:t>
      </w:r>
    </w:p>
    <w:p>
      <w:pPr>
        <w:adjustRightInd w:val="0"/>
        <w:snapToGrid w:val="0"/>
        <w:spacing w:line="560" w:lineRule="exact"/>
        <w:ind w:firstLine="640" w:firstLineChars="200"/>
        <w:rPr>
          <w:rFonts w:hint="eastAsia"/>
          <w:szCs w:val="32"/>
        </w:rPr>
      </w:pPr>
      <w:r>
        <w:rPr>
          <w:rFonts w:hint="eastAsia"/>
          <w:szCs w:val="32"/>
        </w:rPr>
        <w:t>在大学一年级学生中开设数学类通识教育选修课程，以课程强化对参赛学生的培训，实验班高等数学教学团队负责课程讲授及辅导答疑；实验班所有一年级学生参加该课程的选修，普通班选课人数由教学团队负责分配和确定。</w:t>
      </w:r>
    </w:p>
    <w:p>
      <w:pPr>
        <w:adjustRightInd w:val="0"/>
        <w:snapToGrid w:val="0"/>
        <w:spacing w:line="560" w:lineRule="exact"/>
        <w:ind w:firstLine="640" w:firstLineChars="200"/>
        <w:rPr>
          <w:rFonts w:hint="eastAsia"/>
          <w:bCs/>
          <w:szCs w:val="32"/>
        </w:rPr>
      </w:pPr>
      <w:r>
        <w:rPr>
          <w:rFonts w:hint="eastAsia"/>
          <w:bCs/>
          <w:szCs w:val="32"/>
        </w:rPr>
        <w:t>2.定期举办校内数学竞赛</w:t>
      </w:r>
    </w:p>
    <w:p>
      <w:pPr>
        <w:adjustRightInd w:val="0"/>
        <w:snapToGrid w:val="0"/>
        <w:spacing w:line="560" w:lineRule="exact"/>
        <w:ind w:firstLine="640" w:firstLineChars="200"/>
        <w:rPr>
          <w:rFonts w:hint="eastAsia"/>
          <w:szCs w:val="32"/>
        </w:rPr>
      </w:pPr>
      <w:r>
        <w:rPr>
          <w:rFonts w:hint="eastAsia"/>
          <w:szCs w:val="32"/>
        </w:rPr>
        <w:t>在每年天津市大学生数学竞赛报名前举办天津科技大学数学竞赛，竞赛的组织、出题阅卷由教学团队完成，学校教务部门予以配合，通过竞赛成绩及摸底测验成绩确定天津市大学生数学竞赛参赛选手。</w:t>
      </w:r>
    </w:p>
    <w:p>
      <w:pPr>
        <w:adjustRightInd w:val="0"/>
        <w:snapToGrid w:val="0"/>
        <w:spacing w:line="560" w:lineRule="exact"/>
        <w:ind w:firstLine="627" w:firstLineChars="196"/>
        <w:rPr>
          <w:rFonts w:hint="eastAsia"/>
          <w:bCs/>
          <w:szCs w:val="32"/>
        </w:rPr>
      </w:pPr>
      <w:r>
        <w:rPr>
          <w:rFonts w:hint="eastAsia"/>
          <w:bCs/>
          <w:szCs w:val="32"/>
        </w:rPr>
        <w:t>3.积极组织参加全国大学生数学竞赛</w:t>
      </w:r>
    </w:p>
    <w:p>
      <w:pPr>
        <w:adjustRightInd w:val="0"/>
        <w:snapToGrid w:val="0"/>
        <w:spacing w:line="560" w:lineRule="exact"/>
        <w:ind w:firstLine="640" w:firstLineChars="200"/>
        <w:rPr>
          <w:rFonts w:hint="eastAsia"/>
          <w:szCs w:val="32"/>
        </w:rPr>
      </w:pPr>
      <w:r>
        <w:rPr>
          <w:rFonts w:hint="eastAsia"/>
          <w:szCs w:val="32"/>
        </w:rPr>
        <w:t>每年8月底全国大学生数学竞赛开始报名，9月初开始进行全国大学生数学竞赛的培训工作，培训由教学团队负责。</w:t>
      </w:r>
    </w:p>
    <w:p>
      <w:pPr>
        <w:adjustRightInd w:val="0"/>
        <w:snapToGrid w:val="0"/>
        <w:spacing w:line="560" w:lineRule="exact"/>
        <w:ind w:firstLine="630" w:firstLineChars="196"/>
        <w:rPr>
          <w:rFonts w:hint="eastAsia" w:ascii="黑体" w:eastAsia="黑体"/>
          <w:b/>
          <w:szCs w:val="32"/>
        </w:rPr>
      </w:pPr>
      <w:r>
        <w:rPr>
          <w:rFonts w:hint="eastAsia" w:ascii="黑体" w:eastAsia="黑体"/>
          <w:b/>
          <w:szCs w:val="32"/>
        </w:rPr>
        <w:t>三、英语类竞赛的实施</w:t>
      </w:r>
    </w:p>
    <w:p>
      <w:pPr>
        <w:adjustRightInd w:val="0"/>
        <w:snapToGrid w:val="0"/>
        <w:spacing w:line="560" w:lineRule="exact"/>
        <w:ind w:firstLine="640" w:firstLineChars="200"/>
        <w:rPr>
          <w:rFonts w:hint="eastAsia"/>
          <w:szCs w:val="32"/>
        </w:rPr>
      </w:pPr>
      <w:r>
        <w:rPr>
          <w:rFonts w:hint="eastAsia"/>
          <w:szCs w:val="32"/>
        </w:rPr>
        <w:t>1.竞赛培训</w:t>
      </w:r>
    </w:p>
    <w:p>
      <w:pPr>
        <w:adjustRightInd w:val="0"/>
        <w:snapToGrid w:val="0"/>
        <w:spacing w:line="560" w:lineRule="exact"/>
        <w:ind w:firstLine="640" w:firstLineChars="200"/>
        <w:rPr>
          <w:rFonts w:hint="eastAsia"/>
          <w:szCs w:val="32"/>
        </w:rPr>
      </w:pPr>
      <w:r>
        <w:rPr>
          <w:rFonts w:hint="eastAsia"/>
          <w:szCs w:val="32"/>
        </w:rPr>
        <w:t>英语类竞赛按照竞赛性质分为语言类和综合类竞赛，语言类竞赛主要指各类口语和演讲比赛，综合类竞赛主要指除口语和演讲外的其他英语比赛。实验班大学英语教学团队负责制定各类竞赛学生培训计划，安排开设培训类课程。综合类竞赛的辅导方式为1对3，指导教师每学期对学生的指导时间不少于6课时。指导教师填写指导表格，记录学生成长过程，根据具体问题及时做出调整。语言类竞赛的辅导方式为1对1，指导教师每学期对每生的指导时间不少于12学时。</w:t>
      </w:r>
    </w:p>
    <w:p>
      <w:pPr>
        <w:adjustRightInd w:val="0"/>
        <w:snapToGrid w:val="0"/>
        <w:spacing w:line="560" w:lineRule="exact"/>
        <w:ind w:firstLine="640" w:firstLineChars="200"/>
        <w:rPr>
          <w:rFonts w:hint="eastAsia"/>
          <w:szCs w:val="32"/>
        </w:rPr>
      </w:pPr>
      <w:r>
        <w:rPr>
          <w:rFonts w:hint="eastAsia"/>
          <w:szCs w:val="32"/>
        </w:rPr>
        <w:t>2.竞赛选手的选拔</w:t>
      </w:r>
    </w:p>
    <w:p>
      <w:pPr>
        <w:adjustRightInd w:val="0"/>
        <w:snapToGrid w:val="0"/>
        <w:spacing w:line="560" w:lineRule="exact"/>
        <w:ind w:firstLine="640" w:firstLineChars="200"/>
        <w:rPr>
          <w:rFonts w:hint="eastAsia"/>
          <w:szCs w:val="32"/>
        </w:rPr>
      </w:pPr>
      <w:r>
        <w:rPr>
          <w:rFonts w:hint="eastAsia"/>
          <w:szCs w:val="32"/>
        </w:rPr>
        <w:t>大学英语任课教师在授课过程中根据学生口语能力和综合素质向实验班英语课程教学团队推荐学生参加各类英语竞赛。</w:t>
      </w:r>
    </w:p>
    <w:p>
      <w:pPr>
        <w:adjustRightInd w:val="0"/>
        <w:snapToGrid w:val="0"/>
        <w:spacing w:line="560" w:lineRule="exact"/>
        <w:ind w:firstLine="640" w:firstLineChars="200"/>
        <w:rPr>
          <w:rFonts w:hint="eastAsia"/>
          <w:bCs/>
          <w:szCs w:val="32"/>
        </w:rPr>
      </w:pPr>
      <w:r>
        <w:rPr>
          <w:rFonts w:hint="eastAsia"/>
          <w:bCs/>
          <w:szCs w:val="32"/>
        </w:rPr>
        <w:t>3.定期举办校内大学英语竞赛</w:t>
      </w:r>
    </w:p>
    <w:p>
      <w:pPr>
        <w:adjustRightInd w:val="0"/>
        <w:snapToGrid w:val="0"/>
        <w:spacing w:line="560" w:lineRule="exact"/>
        <w:ind w:firstLine="640" w:firstLineChars="200"/>
        <w:rPr>
          <w:rFonts w:hint="eastAsia"/>
          <w:szCs w:val="32"/>
        </w:rPr>
      </w:pPr>
      <w:r>
        <w:rPr>
          <w:rFonts w:hint="eastAsia"/>
          <w:szCs w:val="32"/>
        </w:rPr>
        <w:t>每年举办天津科技大学大学英语竞赛，竞赛的组织、出题阅卷由教学团队完成，学校教务部门予以配合，通过竞赛成绩选拔参加各类英语竞赛的选手。</w:t>
      </w:r>
    </w:p>
    <w:p>
      <w:pPr>
        <w:adjustRightInd w:val="0"/>
        <w:snapToGrid w:val="0"/>
        <w:spacing w:line="560" w:lineRule="exact"/>
        <w:ind w:firstLine="643" w:firstLineChars="200"/>
        <w:rPr>
          <w:rFonts w:hint="eastAsia" w:ascii="黑体" w:eastAsia="黑体"/>
          <w:b/>
          <w:szCs w:val="32"/>
        </w:rPr>
      </w:pPr>
      <w:r>
        <w:rPr>
          <w:rFonts w:hint="eastAsia" w:ascii="黑体" w:eastAsia="黑体"/>
          <w:b/>
          <w:szCs w:val="32"/>
        </w:rPr>
        <w:t>四、竞赛奖励</w:t>
      </w:r>
    </w:p>
    <w:p>
      <w:pPr>
        <w:adjustRightInd w:val="0"/>
        <w:snapToGrid w:val="0"/>
        <w:spacing w:line="580" w:lineRule="exact"/>
        <w:ind w:firstLine="640" w:firstLineChars="200"/>
        <w:rPr>
          <w:rFonts w:hint="eastAsia"/>
          <w:szCs w:val="32"/>
        </w:rPr>
      </w:pPr>
      <w:r>
        <w:rPr>
          <w:rFonts w:hint="eastAsia"/>
          <w:szCs w:val="32"/>
        </w:rPr>
        <w:t>1.参赛获奖学生的物质奖励按照学校相关管理规定执行。</w:t>
      </w:r>
    </w:p>
    <w:p>
      <w:pPr>
        <w:adjustRightInd w:val="0"/>
        <w:snapToGrid w:val="0"/>
        <w:spacing w:after="217" w:afterLines="50" w:line="580" w:lineRule="exact"/>
        <w:ind w:firstLine="640" w:firstLineChars="200"/>
        <w:rPr>
          <w:rFonts w:hint="eastAsia"/>
          <w:szCs w:val="32"/>
        </w:rPr>
      </w:pPr>
      <w:r>
        <w:rPr>
          <w:rFonts w:hint="eastAsia"/>
          <w:szCs w:val="32"/>
        </w:rPr>
        <w:t>2.数学竞赛获奖学生根据获奖等级在一年级第二学期《高等数学》的期末成绩上予以加分；英语类竞赛获奖学生根据获奖等级在一年级第二学期英语（二级）课程的期末成绩上予以加分。所有加分按获奖最高级别只计一次，加至满分为止。</w:t>
      </w:r>
    </w:p>
    <w:tbl>
      <w:tblPr>
        <w:tblStyle w:val="4"/>
        <w:tblW w:w="86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51"/>
        <w:gridCol w:w="910"/>
        <w:gridCol w:w="784"/>
        <w:gridCol w:w="797"/>
        <w:gridCol w:w="882"/>
        <w:gridCol w:w="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4451" w:type="dxa"/>
            <w:noWrap w:val="0"/>
            <w:vAlign w:val="center"/>
          </w:tcPr>
          <w:p>
            <w:pPr>
              <w:jc w:val="center"/>
              <w:rPr>
                <w:rFonts w:hint="eastAsia"/>
                <w:sz w:val="22"/>
                <w:szCs w:val="21"/>
              </w:rPr>
            </w:pPr>
            <w:r>
              <w:rPr>
                <w:rFonts w:hint="eastAsia"/>
                <w:sz w:val="22"/>
                <w:szCs w:val="21"/>
              </w:rPr>
              <w:t>类  别</w:t>
            </w:r>
          </w:p>
        </w:tc>
        <w:tc>
          <w:tcPr>
            <w:tcW w:w="910" w:type="dxa"/>
            <w:noWrap w:val="0"/>
            <w:vAlign w:val="center"/>
          </w:tcPr>
          <w:p>
            <w:pPr>
              <w:ind w:left="-346" w:leftChars="-108" w:right="-307" w:rightChars="-96"/>
              <w:jc w:val="center"/>
              <w:rPr>
                <w:rFonts w:hint="eastAsia"/>
                <w:sz w:val="22"/>
                <w:szCs w:val="21"/>
              </w:rPr>
            </w:pPr>
            <w:r>
              <w:rPr>
                <w:rFonts w:hint="eastAsia"/>
                <w:sz w:val="22"/>
                <w:szCs w:val="21"/>
              </w:rPr>
              <w:t>特等奖</w:t>
            </w:r>
          </w:p>
        </w:tc>
        <w:tc>
          <w:tcPr>
            <w:tcW w:w="784" w:type="dxa"/>
            <w:noWrap w:val="0"/>
            <w:vAlign w:val="center"/>
          </w:tcPr>
          <w:p>
            <w:pPr>
              <w:ind w:left="-346" w:leftChars="-108" w:right="-307" w:rightChars="-96"/>
              <w:jc w:val="center"/>
              <w:rPr>
                <w:rFonts w:hint="eastAsia"/>
                <w:sz w:val="22"/>
                <w:szCs w:val="21"/>
              </w:rPr>
            </w:pPr>
            <w:r>
              <w:rPr>
                <w:rFonts w:hint="eastAsia"/>
                <w:sz w:val="22"/>
                <w:szCs w:val="21"/>
              </w:rPr>
              <w:t>一等奖</w:t>
            </w:r>
          </w:p>
        </w:tc>
        <w:tc>
          <w:tcPr>
            <w:tcW w:w="797" w:type="dxa"/>
            <w:noWrap w:val="0"/>
            <w:vAlign w:val="center"/>
          </w:tcPr>
          <w:p>
            <w:pPr>
              <w:ind w:left="-346" w:leftChars="-108" w:right="-307" w:rightChars="-96"/>
              <w:jc w:val="center"/>
              <w:rPr>
                <w:rFonts w:hint="eastAsia"/>
                <w:sz w:val="22"/>
                <w:szCs w:val="21"/>
              </w:rPr>
            </w:pPr>
            <w:r>
              <w:rPr>
                <w:rFonts w:hint="eastAsia"/>
                <w:sz w:val="22"/>
                <w:szCs w:val="21"/>
              </w:rPr>
              <w:t>二等奖</w:t>
            </w:r>
          </w:p>
        </w:tc>
        <w:tc>
          <w:tcPr>
            <w:tcW w:w="882" w:type="dxa"/>
            <w:noWrap w:val="0"/>
            <w:vAlign w:val="center"/>
          </w:tcPr>
          <w:p>
            <w:pPr>
              <w:ind w:left="-346" w:leftChars="-108" w:right="-307" w:rightChars="-96"/>
              <w:jc w:val="center"/>
              <w:rPr>
                <w:rFonts w:hint="eastAsia"/>
                <w:sz w:val="22"/>
                <w:szCs w:val="21"/>
              </w:rPr>
            </w:pPr>
            <w:r>
              <w:rPr>
                <w:rFonts w:hint="eastAsia"/>
                <w:sz w:val="22"/>
                <w:szCs w:val="21"/>
              </w:rPr>
              <w:t>三等奖</w:t>
            </w:r>
          </w:p>
        </w:tc>
        <w:tc>
          <w:tcPr>
            <w:tcW w:w="783" w:type="dxa"/>
            <w:noWrap w:val="0"/>
            <w:vAlign w:val="center"/>
          </w:tcPr>
          <w:p>
            <w:pPr>
              <w:ind w:left="-346" w:leftChars="-108" w:right="-307" w:rightChars="-96"/>
              <w:jc w:val="center"/>
              <w:rPr>
                <w:rFonts w:hint="eastAsia"/>
                <w:sz w:val="22"/>
                <w:szCs w:val="21"/>
              </w:rPr>
            </w:pPr>
            <w:r>
              <w:rPr>
                <w:rFonts w:hint="eastAsia"/>
                <w:sz w:val="22"/>
                <w:szCs w:val="21"/>
              </w:rPr>
              <w:t>优秀奖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4451" w:type="dxa"/>
            <w:noWrap w:val="0"/>
            <w:vAlign w:val="center"/>
          </w:tcPr>
          <w:p>
            <w:pPr>
              <w:rPr>
                <w:rFonts w:hint="eastAsia"/>
                <w:sz w:val="22"/>
                <w:szCs w:val="21"/>
              </w:rPr>
            </w:pPr>
            <w:r>
              <w:rPr>
                <w:rFonts w:hint="eastAsia"/>
                <w:sz w:val="22"/>
                <w:szCs w:val="21"/>
              </w:rPr>
              <w:t>全国大学生数学竞赛</w:t>
            </w:r>
          </w:p>
        </w:tc>
        <w:tc>
          <w:tcPr>
            <w:tcW w:w="910" w:type="dxa"/>
            <w:noWrap w:val="0"/>
            <w:vAlign w:val="top"/>
          </w:tcPr>
          <w:p>
            <w:pPr>
              <w:jc w:val="center"/>
              <w:rPr>
                <w:rFonts w:hint="eastAsia"/>
                <w:sz w:val="22"/>
                <w:szCs w:val="21"/>
              </w:rPr>
            </w:pPr>
            <w:r>
              <w:rPr>
                <w:rFonts w:hint="eastAsia"/>
                <w:sz w:val="22"/>
                <w:szCs w:val="21"/>
              </w:rPr>
              <w:t>20</w:t>
            </w:r>
          </w:p>
        </w:tc>
        <w:tc>
          <w:tcPr>
            <w:tcW w:w="784" w:type="dxa"/>
            <w:noWrap w:val="0"/>
            <w:vAlign w:val="center"/>
          </w:tcPr>
          <w:p>
            <w:pPr>
              <w:jc w:val="center"/>
              <w:rPr>
                <w:rFonts w:hint="eastAsia"/>
                <w:sz w:val="22"/>
                <w:szCs w:val="21"/>
              </w:rPr>
            </w:pPr>
            <w:r>
              <w:rPr>
                <w:rFonts w:hint="eastAsia"/>
                <w:sz w:val="22"/>
                <w:szCs w:val="21"/>
              </w:rPr>
              <w:t>15</w:t>
            </w:r>
          </w:p>
        </w:tc>
        <w:tc>
          <w:tcPr>
            <w:tcW w:w="797" w:type="dxa"/>
            <w:noWrap w:val="0"/>
            <w:vAlign w:val="center"/>
          </w:tcPr>
          <w:p>
            <w:pPr>
              <w:jc w:val="center"/>
              <w:rPr>
                <w:rFonts w:hint="eastAsia"/>
                <w:sz w:val="22"/>
                <w:szCs w:val="21"/>
              </w:rPr>
            </w:pPr>
            <w:r>
              <w:rPr>
                <w:rFonts w:hint="eastAsia"/>
                <w:sz w:val="22"/>
                <w:szCs w:val="21"/>
              </w:rPr>
              <w:t>12</w:t>
            </w:r>
          </w:p>
        </w:tc>
        <w:tc>
          <w:tcPr>
            <w:tcW w:w="882" w:type="dxa"/>
            <w:noWrap w:val="0"/>
            <w:vAlign w:val="center"/>
          </w:tcPr>
          <w:p>
            <w:pPr>
              <w:jc w:val="center"/>
              <w:rPr>
                <w:rFonts w:hint="eastAsia"/>
                <w:sz w:val="22"/>
                <w:szCs w:val="21"/>
              </w:rPr>
            </w:pPr>
            <w:r>
              <w:rPr>
                <w:rFonts w:hint="eastAsia"/>
                <w:sz w:val="22"/>
                <w:szCs w:val="21"/>
              </w:rPr>
              <w:t>11</w:t>
            </w:r>
          </w:p>
        </w:tc>
        <w:tc>
          <w:tcPr>
            <w:tcW w:w="783" w:type="dxa"/>
            <w:noWrap w:val="0"/>
            <w:vAlign w:val="center"/>
          </w:tcPr>
          <w:p>
            <w:pPr>
              <w:jc w:val="center"/>
              <w:rPr>
                <w:rFonts w:hint="eastAsia"/>
                <w:sz w:val="22"/>
                <w:szCs w:val="21"/>
              </w:rPr>
            </w:pPr>
            <w:r>
              <w:rPr>
                <w:rFonts w:hint="eastAsia"/>
                <w:sz w:val="22"/>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4451" w:type="dxa"/>
            <w:noWrap w:val="0"/>
            <w:vAlign w:val="center"/>
          </w:tcPr>
          <w:p>
            <w:pPr>
              <w:rPr>
                <w:rFonts w:hint="eastAsia"/>
                <w:sz w:val="22"/>
                <w:szCs w:val="21"/>
              </w:rPr>
            </w:pPr>
            <w:r>
              <w:rPr>
                <w:rFonts w:hint="eastAsia"/>
                <w:sz w:val="22"/>
                <w:szCs w:val="21"/>
              </w:rPr>
              <w:t>全国大学生数学竞赛（天津赛区）</w:t>
            </w:r>
          </w:p>
        </w:tc>
        <w:tc>
          <w:tcPr>
            <w:tcW w:w="910" w:type="dxa"/>
            <w:noWrap w:val="0"/>
            <w:vAlign w:val="center"/>
          </w:tcPr>
          <w:p>
            <w:pPr>
              <w:jc w:val="center"/>
              <w:rPr>
                <w:rFonts w:hint="eastAsia"/>
                <w:sz w:val="22"/>
                <w:szCs w:val="21"/>
              </w:rPr>
            </w:pPr>
            <w:r>
              <w:rPr>
                <w:rFonts w:hint="eastAsia"/>
                <w:sz w:val="22"/>
                <w:szCs w:val="21"/>
              </w:rPr>
              <w:t>11</w:t>
            </w:r>
          </w:p>
        </w:tc>
        <w:tc>
          <w:tcPr>
            <w:tcW w:w="784" w:type="dxa"/>
            <w:noWrap w:val="0"/>
            <w:vAlign w:val="center"/>
          </w:tcPr>
          <w:p>
            <w:pPr>
              <w:jc w:val="center"/>
              <w:rPr>
                <w:rFonts w:hint="eastAsia"/>
                <w:sz w:val="22"/>
                <w:szCs w:val="21"/>
              </w:rPr>
            </w:pPr>
            <w:r>
              <w:rPr>
                <w:rFonts w:hint="eastAsia"/>
                <w:sz w:val="22"/>
                <w:szCs w:val="21"/>
              </w:rPr>
              <w:t>10</w:t>
            </w:r>
          </w:p>
        </w:tc>
        <w:tc>
          <w:tcPr>
            <w:tcW w:w="797" w:type="dxa"/>
            <w:noWrap w:val="0"/>
            <w:vAlign w:val="center"/>
          </w:tcPr>
          <w:p>
            <w:pPr>
              <w:jc w:val="center"/>
              <w:rPr>
                <w:rFonts w:hint="eastAsia"/>
                <w:sz w:val="22"/>
                <w:szCs w:val="21"/>
              </w:rPr>
            </w:pPr>
            <w:r>
              <w:rPr>
                <w:rFonts w:hint="eastAsia"/>
                <w:sz w:val="22"/>
                <w:szCs w:val="21"/>
              </w:rPr>
              <w:t>8</w:t>
            </w:r>
          </w:p>
        </w:tc>
        <w:tc>
          <w:tcPr>
            <w:tcW w:w="882" w:type="dxa"/>
            <w:noWrap w:val="0"/>
            <w:vAlign w:val="center"/>
          </w:tcPr>
          <w:p>
            <w:pPr>
              <w:jc w:val="center"/>
              <w:rPr>
                <w:rFonts w:hint="eastAsia"/>
                <w:sz w:val="22"/>
                <w:szCs w:val="21"/>
              </w:rPr>
            </w:pPr>
            <w:r>
              <w:rPr>
                <w:rFonts w:hint="eastAsia"/>
                <w:sz w:val="22"/>
                <w:szCs w:val="21"/>
              </w:rPr>
              <w:t>6</w:t>
            </w:r>
          </w:p>
        </w:tc>
        <w:tc>
          <w:tcPr>
            <w:tcW w:w="783" w:type="dxa"/>
            <w:noWrap w:val="0"/>
            <w:vAlign w:val="center"/>
          </w:tcPr>
          <w:p>
            <w:pPr>
              <w:jc w:val="center"/>
              <w:rPr>
                <w:rFonts w:hint="eastAsia"/>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4451" w:type="dxa"/>
            <w:noWrap w:val="0"/>
            <w:vAlign w:val="center"/>
          </w:tcPr>
          <w:p>
            <w:pPr>
              <w:rPr>
                <w:rFonts w:hint="eastAsia"/>
                <w:sz w:val="22"/>
                <w:szCs w:val="21"/>
              </w:rPr>
            </w:pPr>
            <w:r>
              <w:rPr>
                <w:rFonts w:hint="eastAsia"/>
                <w:sz w:val="22"/>
                <w:szCs w:val="21"/>
              </w:rPr>
              <w:t>天津市大学生数学竞赛</w:t>
            </w:r>
          </w:p>
        </w:tc>
        <w:tc>
          <w:tcPr>
            <w:tcW w:w="910" w:type="dxa"/>
            <w:noWrap w:val="0"/>
            <w:vAlign w:val="center"/>
          </w:tcPr>
          <w:p>
            <w:pPr>
              <w:jc w:val="center"/>
              <w:rPr>
                <w:rFonts w:hint="eastAsia"/>
                <w:sz w:val="22"/>
                <w:szCs w:val="21"/>
              </w:rPr>
            </w:pPr>
            <w:r>
              <w:rPr>
                <w:rFonts w:hint="eastAsia"/>
                <w:sz w:val="22"/>
                <w:szCs w:val="21"/>
              </w:rPr>
              <w:t>11</w:t>
            </w:r>
          </w:p>
        </w:tc>
        <w:tc>
          <w:tcPr>
            <w:tcW w:w="784" w:type="dxa"/>
            <w:noWrap w:val="0"/>
            <w:vAlign w:val="center"/>
          </w:tcPr>
          <w:p>
            <w:pPr>
              <w:jc w:val="center"/>
              <w:rPr>
                <w:rFonts w:hint="eastAsia"/>
                <w:sz w:val="22"/>
                <w:szCs w:val="21"/>
              </w:rPr>
            </w:pPr>
            <w:r>
              <w:rPr>
                <w:rFonts w:hint="eastAsia"/>
                <w:sz w:val="22"/>
                <w:szCs w:val="21"/>
              </w:rPr>
              <w:t>10</w:t>
            </w:r>
          </w:p>
        </w:tc>
        <w:tc>
          <w:tcPr>
            <w:tcW w:w="797" w:type="dxa"/>
            <w:noWrap w:val="0"/>
            <w:vAlign w:val="center"/>
          </w:tcPr>
          <w:p>
            <w:pPr>
              <w:jc w:val="center"/>
              <w:rPr>
                <w:rFonts w:hint="eastAsia"/>
                <w:sz w:val="22"/>
                <w:szCs w:val="21"/>
              </w:rPr>
            </w:pPr>
            <w:r>
              <w:rPr>
                <w:rFonts w:hint="eastAsia"/>
                <w:sz w:val="22"/>
                <w:szCs w:val="21"/>
              </w:rPr>
              <w:t>8</w:t>
            </w:r>
          </w:p>
        </w:tc>
        <w:tc>
          <w:tcPr>
            <w:tcW w:w="882" w:type="dxa"/>
            <w:noWrap w:val="0"/>
            <w:vAlign w:val="center"/>
          </w:tcPr>
          <w:p>
            <w:pPr>
              <w:jc w:val="center"/>
              <w:rPr>
                <w:rFonts w:hint="eastAsia"/>
                <w:sz w:val="22"/>
                <w:szCs w:val="21"/>
              </w:rPr>
            </w:pPr>
            <w:r>
              <w:rPr>
                <w:rFonts w:hint="eastAsia"/>
                <w:sz w:val="22"/>
                <w:szCs w:val="21"/>
              </w:rPr>
              <w:t>6</w:t>
            </w:r>
          </w:p>
        </w:tc>
        <w:tc>
          <w:tcPr>
            <w:tcW w:w="783" w:type="dxa"/>
            <w:noWrap w:val="0"/>
            <w:vAlign w:val="center"/>
          </w:tcPr>
          <w:p>
            <w:pPr>
              <w:jc w:val="center"/>
              <w:rPr>
                <w:rFonts w:hint="eastAsia"/>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4451" w:type="dxa"/>
            <w:noWrap w:val="0"/>
            <w:vAlign w:val="center"/>
          </w:tcPr>
          <w:p>
            <w:pPr>
              <w:rPr>
                <w:rFonts w:hint="eastAsia"/>
                <w:sz w:val="22"/>
                <w:szCs w:val="21"/>
              </w:rPr>
            </w:pPr>
            <w:r>
              <w:rPr>
                <w:rFonts w:hint="eastAsia"/>
                <w:sz w:val="22"/>
                <w:szCs w:val="21"/>
              </w:rPr>
              <w:t>“外研社杯”全国英语演讲大赛</w:t>
            </w:r>
          </w:p>
        </w:tc>
        <w:tc>
          <w:tcPr>
            <w:tcW w:w="910" w:type="dxa"/>
            <w:noWrap w:val="0"/>
            <w:vAlign w:val="top"/>
          </w:tcPr>
          <w:p>
            <w:pPr>
              <w:jc w:val="center"/>
              <w:rPr>
                <w:rFonts w:hint="eastAsia"/>
                <w:sz w:val="22"/>
                <w:szCs w:val="21"/>
              </w:rPr>
            </w:pPr>
            <w:r>
              <w:rPr>
                <w:rFonts w:hint="eastAsia"/>
                <w:sz w:val="22"/>
                <w:szCs w:val="21"/>
              </w:rPr>
              <w:t>20</w:t>
            </w:r>
          </w:p>
        </w:tc>
        <w:tc>
          <w:tcPr>
            <w:tcW w:w="784" w:type="dxa"/>
            <w:noWrap w:val="0"/>
            <w:vAlign w:val="center"/>
          </w:tcPr>
          <w:p>
            <w:pPr>
              <w:jc w:val="center"/>
              <w:rPr>
                <w:rFonts w:hint="eastAsia"/>
                <w:sz w:val="22"/>
                <w:szCs w:val="21"/>
              </w:rPr>
            </w:pPr>
            <w:r>
              <w:rPr>
                <w:rFonts w:hint="eastAsia"/>
                <w:sz w:val="22"/>
                <w:szCs w:val="21"/>
              </w:rPr>
              <w:t>15</w:t>
            </w:r>
          </w:p>
        </w:tc>
        <w:tc>
          <w:tcPr>
            <w:tcW w:w="797" w:type="dxa"/>
            <w:noWrap w:val="0"/>
            <w:vAlign w:val="center"/>
          </w:tcPr>
          <w:p>
            <w:pPr>
              <w:jc w:val="center"/>
              <w:rPr>
                <w:rFonts w:hint="eastAsia"/>
                <w:sz w:val="22"/>
                <w:szCs w:val="21"/>
              </w:rPr>
            </w:pPr>
            <w:r>
              <w:rPr>
                <w:rFonts w:hint="eastAsia"/>
                <w:sz w:val="22"/>
                <w:szCs w:val="21"/>
              </w:rPr>
              <w:t>12</w:t>
            </w:r>
          </w:p>
        </w:tc>
        <w:tc>
          <w:tcPr>
            <w:tcW w:w="882" w:type="dxa"/>
            <w:noWrap w:val="0"/>
            <w:vAlign w:val="center"/>
          </w:tcPr>
          <w:p>
            <w:pPr>
              <w:jc w:val="center"/>
              <w:rPr>
                <w:rFonts w:hint="eastAsia"/>
                <w:sz w:val="22"/>
                <w:szCs w:val="21"/>
              </w:rPr>
            </w:pPr>
            <w:r>
              <w:rPr>
                <w:rFonts w:hint="eastAsia"/>
                <w:sz w:val="22"/>
                <w:szCs w:val="21"/>
              </w:rPr>
              <w:t>11</w:t>
            </w:r>
          </w:p>
        </w:tc>
        <w:tc>
          <w:tcPr>
            <w:tcW w:w="783" w:type="dxa"/>
            <w:noWrap w:val="0"/>
            <w:vAlign w:val="center"/>
          </w:tcPr>
          <w:p>
            <w:pPr>
              <w:jc w:val="center"/>
              <w:rPr>
                <w:rFonts w:hint="eastAsia"/>
                <w:sz w:val="22"/>
                <w:szCs w:val="21"/>
              </w:rPr>
            </w:pPr>
            <w:r>
              <w:rPr>
                <w:rFonts w:hint="eastAsia"/>
                <w:sz w:val="22"/>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4451" w:type="dxa"/>
            <w:noWrap w:val="0"/>
            <w:vAlign w:val="center"/>
          </w:tcPr>
          <w:p>
            <w:pPr>
              <w:rPr>
                <w:rFonts w:hint="eastAsia"/>
                <w:sz w:val="22"/>
                <w:szCs w:val="21"/>
              </w:rPr>
            </w:pPr>
            <w:r>
              <w:rPr>
                <w:rFonts w:hint="eastAsia"/>
                <w:sz w:val="22"/>
                <w:szCs w:val="21"/>
              </w:rPr>
              <w:t>“外研社杯”全国英语演讲大赛（天津赛区）</w:t>
            </w:r>
          </w:p>
        </w:tc>
        <w:tc>
          <w:tcPr>
            <w:tcW w:w="910" w:type="dxa"/>
            <w:noWrap w:val="0"/>
            <w:vAlign w:val="center"/>
          </w:tcPr>
          <w:p>
            <w:pPr>
              <w:jc w:val="center"/>
              <w:rPr>
                <w:rFonts w:hint="eastAsia"/>
                <w:sz w:val="22"/>
                <w:szCs w:val="21"/>
              </w:rPr>
            </w:pPr>
            <w:r>
              <w:rPr>
                <w:rFonts w:hint="eastAsia"/>
                <w:sz w:val="22"/>
                <w:szCs w:val="21"/>
              </w:rPr>
              <w:t>11</w:t>
            </w:r>
          </w:p>
        </w:tc>
        <w:tc>
          <w:tcPr>
            <w:tcW w:w="784" w:type="dxa"/>
            <w:noWrap w:val="0"/>
            <w:vAlign w:val="center"/>
          </w:tcPr>
          <w:p>
            <w:pPr>
              <w:jc w:val="center"/>
              <w:rPr>
                <w:rFonts w:hint="eastAsia"/>
                <w:sz w:val="22"/>
                <w:szCs w:val="21"/>
              </w:rPr>
            </w:pPr>
            <w:r>
              <w:rPr>
                <w:rFonts w:hint="eastAsia"/>
                <w:sz w:val="22"/>
                <w:szCs w:val="21"/>
              </w:rPr>
              <w:t>10</w:t>
            </w:r>
          </w:p>
        </w:tc>
        <w:tc>
          <w:tcPr>
            <w:tcW w:w="797" w:type="dxa"/>
            <w:noWrap w:val="0"/>
            <w:vAlign w:val="center"/>
          </w:tcPr>
          <w:p>
            <w:pPr>
              <w:jc w:val="center"/>
              <w:rPr>
                <w:rFonts w:hint="eastAsia"/>
                <w:sz w:val="22"/>
                <w:szCs w:val="21"/>
              </w:rPr>
            </w:pPr>
            <w:r>
              <w:rPr>
                <w:rFonts w:hint="eastAsia"/>
                <w:sz w:val="22"/>
                <w:szCs w:val="21"/>
              </w:rPr>
              <w:t>8</w:t>
            </w:r>
          </w:p>
        </w:tc>
        <w:tc>
          <w:tcPr>
            <w:tcW w:w="882" w:type="dxa"/>
            <w:noWrap w:val="0"/>
            <w:vAlign w:val="center"/>
          </w:tcPr>
          <w:p>
            <w:pPr>
              <w:jc w:val="center"/>
              <w:rPr>
                <w:rFonts w:hint="eastAsia"/>
                <w:sz w:val="22"/>
                <w:szCs w:val="21"/>
              </w:rPr>
            </w:pPr>
            <w:r>
              <w:rPr>
                <w:rFonts w:hint="eastAsia"/>
                <w:sz w:val="22"/>
                <w:szCs w:val="21"/>
              </w:rPr>
              <w:t>6</w:t>
            </w:r>
          </w:p>
        </w:tc>
        <w:tc>
          <w:tcPr>
            <w:tcW w:w="783" w:type="dxa"/>
            <w:noWrap w:val="0"/>
            <w:vAlign w:val="center"/>
          </w:tcPr>
          <w:p>
            <w:pPr>
              <w:jc w:val="center"/>
              <w:rPr>
                <w:rFonts w:hint="eastAsia"/>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4451" w:type="dxa"/>
            <w:noWrap w:val="0"/>
            <w:vAlign w:val="center"/>
          </w:tcPr>
          <w:p>
            <w:pPr>
              <w:rPr>
                <w:rFonts w:hint="eastAsia"/>
                <w:sz w:val="22"/>
                <w:szCs w:val="21"/>
              </w:rPr>
            </w:pPr>
            <w:r>
              <w:rPr>
                <w:rFonts w:hint="eastAsia"/>
                <w:sz w:val="22"/>
                <w:szCs w:val="21"/>
              </w:rPr>
              <w:t>全国大学生英语竞赛（天津赛区）</w:t>
            </w:r>
          </w:p>
        </w:tc>
        <w:tc>
          <w:tcPr>
            <w:tcW w:w="910" w:type="dxa"/>
            <w:noWrap w:val="0"/>
            <w:vAlign w:val="center"/>
          </w:tcPr>
          <w:p>
            <w:pPr>
              <w:jc w:val="center"/>
              <w:rPr>
                <w:rFonts w:hint="eastAsia"/>
                <w:sz w:val="22"/>
                <w:szCs w:val="21"/>
              </w:rPr>
            </w:pPr>
            <w:r>
              <w:rPr>
                <w:rFonts w:hint="eastAsia"/>
                <w:sz w:val="22"/>
                <w:szCs w:val="21"/>
              </w:rPr>
              <w:t>11</w:t>
            </w:r>
          </w:p>
        </w:tc>
        <w:tc>
          <w:tcPr>
            <w:tcW w:w="784" w:type="dxa"/>
            <w:noWrap w:val="0"/>
            <w:vAlign w:val="center"/>
          </w:tcPr>
          <w:p>
            <w:pPr>
              <w:jc w:val="center"/>
              <w:rPr>
                <w:rFonts w:hint="eastAsia"/>
                <w:sz w:val="22"/>
                <w:szCs w:val="21"/>
              </w:rPr>
            </w:pPr>
            <w:r>
              <w:rPr>
                <w:rFonts w:hint="eastAsia"/>
                <w:sz w:val="22"/>
                <w:szCs w:val="21"/>
              </w:rPr>
              <w:t>10</w:t>
            </w:r>
          </w:p>
        </w:tc>
        <w:tc>
          <w:tcPr>
            <w:tcW w:w="797" w:type="dxa"/>
            <w:noWrap w:val="0"/>
            <w:vAlign w:val="center"/>
          </w:tcPr>
          <w:p>
            <w:pPr>
              <w:jc w:val="center"/>
              <w:rPr>
                <w:rFonts w:hint="eastAsia"/>
                <w:sz w:val="22"/>
                <w:szCs w:val="21"/>
              </w:rPr>
            </w:pPr>
            <w:r>
              <w:rPr>
                <w:rFonts w:hint="eastAsia"/>
                <w:sz w:val="22"/>
                <w:szCs w:val="21"/>
              </w:rPr>
              <w:t>8</w:t>
            </w:r>
          </w:p>
        </w:tc>
        <w:tc>
          <w:tcPr>
            <w:tcW w:w="882" w:type="dxa"/>
            <w:noWrap w:val="0"/>
            <w:vAlign w:val="center"/>
          </w:tcPr>
          <w:p>
            <w:pPr>
              <w:jc w:val="center"/>
              <w:rPr>
                <w:rFonts w:hint="eastAsia"/>
                <w:sz w:val="22"/>
                <w:szCs w:val="21"/>
              </w:rPr>
            </w:pPr>
            <w:r>
              <w:rPr>
                <w:rFonts w:hint="eastAsia"/>
                <w:sz w:val="22"/>
                <w:szCs w:val="21"/>
              </w:rPr>
              <w:t>6</w:t>
            </w:r>
          </w:p>
        </w:tc>
        <w:tc>
          <w:tcPr>
            <w:tcW w:w="783" w:type="dxa"/>
            <w:noWrap w:val="0"/>
            <w:vAlign w:val="center"/>
          </w:tcPr>
          <w:p>
            <w:pPr>
              <w:jc w:val="center"/>
              <w:rPr>
                <w:rFonts w:hint="eastAsia"/>
                <w:sz w:val="22"/>
                <w:szCs w:val="21"/>
              </w:rPr>
            </w:pPr>
          </w:p>
        </w:tc>
      </w:tr>
    </w:tbl>
    <w:p>
      <w:pPr>
        <w:numPr>
          <w:ilvl w:val="0"/>
          <w:numId w:val="0"/>
        </w:numPr>
        <w:adjustRightInd w:val="0"/>
        <w:snapToGrid w:val="0"/>
        <w:spacing w:before="217" w:beforeLines="50" w:line="580" w:lineRule="exact"/>
        <w:ind w:firstLine="640" w:firstLineChars="200"/>
        <w:rPr>
          <w:rFonts w:hint="eastAsia"/>
          <w:szCs w:val="32"/>
        </w:rPr>
      </w:pPr>
      <w:r>
        <w:rPr>
          <w:rFonts w:hint="eastAsia"/>
          <w:szCs w:val="32"/>
          <w:lang w:val="en-US" w:eastAsia="zh-CN"/>
        </w:rPr>
        <w:t>3.</w:t>
      </w:r>
      <w:r>
        <w:rPr>
          <w:rFonts w:hint="eastAsia"/>
          <w:szCs w:val="32"/>
        </w:rPr>
        <w:t>对于指导学生在天津市大学生数学竞赛获特等奖且团体成绩排名在全部参赛高校前三名的指导教师；在英语演讲类比赛中获国家级奖项的指导教师，在学校聘期岗位聘任中将予以政策倾斜。</w:t>
      </w:r>
    </w:p>
    <w:p>
      <w:pPr>
        <w:numPr>
          <w:ilvl w:val="0"/>
          <w:numId w:val="0"/>
        </w:numPr>
        <w:adjustRightInd w:val="0"/>
        <w:snapToGrid w:val="0"/>
        <w:spacing w:before="217" w:beforeLines="50" w:line="580" w:lineRule="exact"/>
        <w:ind w:firstLine="640" w:firstLineChars="200"/>
        <w:rPr>
          <w:rFonts w:hint="eastAsia"/>
          <w:szCs w:val="32"/>
        </w:rPr>
      </w:pPr>
      <w:r>
        <w:rPr>
          <w:rFonts w:hint="eastAsia"/>
          <w:szCs w:val="32"/>
          <w:lang w:val="en-US" w:eastAsia="zh-CN"/>
        </w:rPr>
        <w:t>4.</w:t>
      </w:r>
      <w:r>
        <w:rPr>
          <w:rFonts w:hint="eastAsia"/>
          <w:szCs w:val="32"/>
        </w:rPr>
        <w:t>学校对参与竞赛指导培训的教师工作量给予认定，指导教师工作量分为赛前培训工作量和竞赛工作量，教师完成的赛前培训工作量纳入教师所在学院的教学工作量。</w:t>
      </w:r>
    </w:p>
    <w:p>
      <w:pPr>
        <w:numPr>
          <w:ilvl w:val="0"/>
          <w:numId w:val="0"/>
        </w:numPr>
        <w:adjustRightInd w:val="0"/>
        <w:snapToGrid w:val="0"/>
        <w:spacing w:before="217" w:beforeLines="50" w:line="580" w:lineRule="exact"/>
        <w:ind w:firstLine="640" w:firstLineChars="200"/>
        <w:rPr>
          <w:rFonts w:hint="eastAsia" w:hAnsi="宋体"/>
          <w:szCs w:val="32"/>
        </w:rPr>
      </w:pPr>
      <w:r>
        <w:rPr>
          <w:rFonts w:hint="eastAsia" w:hAnsi="宋体"/>
          <w:szCs w:val="32"/>
        </w:rPr>
        <w:t>5.根据学生获奖情况发放指导奖金（按获奖项目数计），奖金额如下：</w:t>
      </w:r>
    </w:p>
    <w:tbl>
      <w:tblPr>
        <w:tblStyle w:val="4"/>
        <w:tblW w:w="82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27"/>
        <w:gridCol w:w="980"/>
        <w:gridCol w:w="950"/>
        <w:gridCol w:w="975"/>
        <w:gridCol w:w="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4427" w:type="dxa"/>
            <w:noWrap w:val="0"/>
            <w:vAlign w:val="center"/>
          </w:tcPr>
          <w:p>
            <w:pPr>
              <w:jc w:val="center"/>
              <w:rPr>
                <w:rFonts w:hint="eastAsia"/>
                <w:sz w:val="22"/>
                <w:szCs w:val="21"/>
              </w:rPr>
            </w:pPr>
            <w:r>
              <w:rPr>
                <w:rFonts w:hint="eastAsia"/>
                <w:sz w:val="22"/>
                <w:szCs w:val="21"/>
              </w:rPr>
              <w:t>类  别</w:t>
            </w:r>
          </w:p>
        </w:tc>
        <w:tc>
          <w:tcPr>
            <w:tcW w:w="980" w:type="dxa"/>
            <w:noWrap w:val="0"/>
            <w:vAlign w:val="center"/>
          </w:tcPr>
          <w:p>
            <w:pPr>
              <w:ind w:left="-346" w:leftChars="-108" w:right="-307" w:rightChars="-96"/>
              <w:jc w:val="center"/>
              <w:rPr>
                <w:rFonts w:hint="eastAsia"/>
                <w:sz w:val="22"/>
                <w:szCs w:val="21"/>
              </w:rPr>
            </w:pPr>
            <w:r>
              <w:rPr>
                <w:rFonts w:hint="eastAsia"/>
                <w:sz w:val="22"/>
                <w:szCs w:val="21"/>
              </w:rPr>
              <w:t>特等奖</w:t>
            </w:r>
          </w:p>
        </w:tc>
        <w:tc>
          <w:tcPr>
            <w:tcW w:w="950" w:type="dxa"/>
            <w:noWrap w:val="0"/>
            <w:vAlign w:val="center"/>
          </w:tcPr>
          <w:p>
            <w:pPr>
              <w:ind w:left="-346" w:leftChars="-108" w:right="-307" w:rightChars="-96"/>
              <w:jc w:val="center"/>
              <w:rPr>
                <w:rFonts w:hint="eastAsia"/>
                <w:sz w:val="22"/>
                <w:szCs w:val="21"/>
              </w:rPr>
            </w:pPr>
            <w:r>
              <w:rPr>
                <w:rFonts w:hint="eastAsia"/>
                <w:sz w:val="22"/>
                <w:szCs w:val="21"/>
              </w:rPr>
              <w:t>一等奖</w:t>
            </w:r>
          </w:p>
        </w:tc>
        <w:tc>
          <w:tcPr>
            <w:tcW w:w="975" w:type="dxa"/>
            <w:noWrap w:val="0"/>
            <w:vAlign w:val="center"/>
          </w:tcPr>
          <w:p>
            <w:pPr>
              <w:ind w:left="-346" w:leftChars="-108" w:right="-307" w:rightChars="-96"/>
              <w:jc w:val="center"/>
              <w:rPr>
                <w:rFonts w:hint="eastAsia"/>
                <w:sz w:val="22"/>
                <w:szCs w:val="21"/>
              </w:rPr>
            </w:pPr>
            <w:r>
              <w:rPr>
                <w:rFonts w:hint="eastAsia"/>
                <w:sz w:val="22"/>
                <w:szCs w:val="21"/>
              </w:rPr>
              <w:t>二等奖</w:t>
            </w:r>
          </w:p>
        </w:tc>
        <w:tc>
          <w:tcPr>
            <w:tcW w:w="940" w:type="dxa"/>
            <w:noWrap w:val="0"/>
            <w:vAlign w:val="center"/>
          </w:tcPr>
          <w:p>
            <w:pPr>
              <w:ind w:left="-346" w:leftChars="-108" w:right="-307" w:rightChars="-96"/>
              <w:jc w:val="center"/>
              <w:rPr>
                <w:rFonts w:hint="eastAsia"/>
                <w:sz w:val="22"/>
                <w:szCs w:val="21"/>
              </w:rPr>
            </w:pPr>
            <w:r>
              <w:rPr>
                <w:rFonts w:hint="eastAsia"/>
                <w:sz w:val="22"/>
                <w:szCs w:val="21"/>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4427" w:type="dxa"/>
            <w:noWrap w:val="0"/>
            <w:vAlign w:val="center"/>
          </w:tcPr>
          <w:p>
            <w:pPr>
              <w:rPr>
                <w:rFonts w:hint="eastAsia"/>
                <w:sz w:val="22"/>
                <w:szCs w:val="21"/>
              </w:rPr>
            </w:pPr>
            <w:r>
              <w:rPr>
                <w:rFonts w:hint="eastAsia"/>
                <w:sz w:val="22"/>
                <w:szCs w:val="21"/>
              </w:rPr>
              <w:t>全国大学生数学竞赛</w:t>
            </w:r>
          </w:p>
        </w:tc>
        <w:tc>
          <w:tcPr>
            <w:tcW w:w="980" w:type="dxa"/>
            <w:noWrap w:val="0"/>
            <w:vAlign w:val="center"/>
          </w:tcPr>
          <w:p>
            <w:pPr>
              <w:jc w:val="center"/>
              <w:rPr>
                <w:rFonts w:hint="eastAsia"/>
                <w:sz w:val="22"/>
                <w:szCs w:val="21"/>
              </w:rPr>
            </w:pPr>
            <w:r>
              <w:rPr>
                <w:rFonts w:hint="eastAsia"/>
                <w:sz w:val="22"/>
                <w:szCs w:val="21"/>
              </w:rPr>
              <w:t>5000</w:t>
            </w:r>
          </w:p>
        </w:tc>
        <w:tc>
          <w:tcPr>
            <w:tcW w:w="950" w:type="dxa"/>
            <w:noWrap w:val="0"/>
            <w:vAlign w:val="center"/>
          </w:tcPr>
          <w:p>
            <w:pPr>
              <w:jc w:val="center"/>
              <w:rPr>
                <w:rFonts w:hint="eastAsia"/>
                <w:sz w:val="22"/>
                <w:szCs w:val="21"/>
              </w:rPr>
            </w:pPr>
            <w:r>
              <w:rPr>
                <w:rFonts w:hint="eastAsia"/>
                <w:sz w:val="22"/>
                <w:szCs w:val="21"/>
              </w:rPr>
              <w:t>4000</w:t>
            </w:r>
          </w:p>
        </w:tc>
        <w:tc>
          <w:tcPr>
            <w:tcW w:w="975" w:type="dxa"/>
            <w:noWrap w:val="0"/>
            <w:vAlign w:val="center"/>
          </w:tcPr>
          <w:p>
            <w:pPr>
              <w:jc w:val="center"/>
              <w:rPr>
                <w:rFonts w:hint="eastAsia"/>
                <w:sz w:val="22"/>
                <w:szCs w:val="21"/>
              </w:rPr>
            </w:pPr>
            <w:r>
              <w:rPr>
                <w:rFonts w:hint="eastAsia"/>
                <w:sz w:val="22"/>
                <w:szCs w:val="21"/>
              </w:rPr>
              <w:t>3000</w:t>
            </w:r>
          </w:p>
        </w:tc>
        <w:tc>
          <w:tcPr>
            <w:tcW w:w="940" w:type="dxa"/>
            <w:noWrap w:val="0"/>
            <w:vAlign w:val="center"/>
          </w:tcPr>
          <w:p>
            <w:pPr>
              <w:jc w:val="center"/>
              <w:rPr>
                <w:rFonts w:hint="eastAsia"/>
                <w:sz w:val="22"/>
                <w:szCs w:val="21"/>
              </w:rPr>
            </w:pPr>
            <w:r>
              <w:rPr>
                <w:rFonts w:hint="eastAsia"/>
                <w:sz w:val="22"/>
                <w:szCs w:val="21"/>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4427" w:type="dxa"/>
            <w:noWrap w:val="0"/>
            <w:vAlign w:val="center"/>
          </w:tcPr>
          <w:p>
            <w:pPr>
              <w:rPr>
                <w:rFonts w:hint="eastAsia"/>
                <w:sz w:val="22"/>
                <w:szCs w:val="21"/>
              </w:rPr>
            </w:pPr>
            <w:r>
              <w:rPr>
                <w:rFonts w:hint="eastAsia"/>
                <w:sz w:val="22"/>
                <w:szCs w:val="21"/>
              </w:rPr>
              <w:t>全国大学生数学竞赛（天津赛区）</w:t>
            </w:r>
          </w:p>
        </w:tc>
        <w:tc>
          <w:tcPr>
            <w:tcW w:w="980" w:type="dxa"/>
            <w:noWrap w:val="0"/>
            <w:vAlign w:val="center"/>
          </w:tcPr>
          <w:p>
            <w:pPr>
              <w:jc w:val="center"/>
              <w:rPr>
                <w:rFonts w:hint="eastAsia"/>
                <w:sz w:val="22"/>
                <w:szCs w:val="21"/>
              </w:rPr>
            </w:pPr>
            <w:r>
              <w:rPr>
                <w:rFonts w:hint="eastAsia"/>
                <w:sz w:val="22"/>
                <w:szCs w:val="21"/>
              </w:rPr>
              <w:t>3000</w:t>
            </w:r>
          </w:p>
        </w:tc>
        <w:tc>
          <w:tcPr>
            <w:tcW w:w="950" w:type="dxa"/>
            <w:noWrap w:val="0"/>
            <w:vAlign w:val="center"/>
          </w:tcPr>
          <w:p>
            <w:pPr>
              <w:jc w:val="center"/>
              <w:rPr>
                <w:rFonts w:hint="eastAsia"/>
                <w:sz w:val="22"/>
                <w:szCs w:val="21"/>
              </w:rPr>
            </w:pPr>
            <w:r>
              <w:rPr>
                <w:rFonts w:hint="eastAsia"/>
                <w:sz w:val="22"/>
                <w:szCs w:val="21"/>
              </w:rPr>
              <w:t>2000</w:t>
            </w:r>
          </w:p>
        </w:tc>
        <w:tc>
          <w:tcPr>
            <w:tcW w:w="975" w:type="dxa"/>
            <w:noWrap w:val="0"/>
            <w:vAlign w:val="center"/>
          </w:tcPr>
          <w:p>
            <w:pPr>
              <w:jc w:val="center"/>
              <w:rPr>
                <w:rFonts w:hint="eastAsia"/>
                <w:sz w:val="22"/>
                <w:szCs w:val="21"/>
              </w:rPr>
            </w:pPr>
            <w:r>
              <w:rPr>
                <w:rFonts w:hint="eastAsia"/>
                <w:sz w:val="22"/>
                <w:szCs w:val="21"/>
              </w:rPr>
              <w:t>1000</w:t>
            </w:r>
          </w:p>
        </w:tc>
        <w:tc>
          <w:tcPr>
            <w:tcW w:w="940" w:type="dxa"/>
            <w:noWrap w:val="0"/>
            <w:vAlign w:val="center"/>
          </w:tcPr>
          <w:p>
            <w:pPr>
              <w:jc w:val="center"/>
              <w:rPr>
                <w:rFonts w:hint="eastAsia"/>
                <w:sz w:val="22"/>
                <w:szCs w:val="21"/>
              </w:rPr>
            </w:pPr>
            <w:r>
              <w:rPr>
                <w:rFonts w:hint="eastAsia"/>
                <w:sz w:val="22"/>
                <w:szCs w:val="21"/>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4427" w:type="dxa"/>
            <w:noWrap w:val="0"/>
            <w:vAlign w:val="center"/>
          </w:tcPr>
          <w:p>
            <w:pPr>
              <w:rPr>
                <w:rFonts w:hint="eastAsia"/>
                <w:sz w:val="22"/>
                <w:szCs w:val="21"/>
              </w:rPr>
            </w:pPr>
            <w:r>
              <w:rPr>
                <w:rFonts w:hint="eastAsia"/>
                <w:sz w:val="22"/>
                <w:szCs w:val="21"/>
              </w:rPr>
              <w:t>天津市大学生数学竞赛</w:t>
            </w:r>
          </w:p>
        </w:tc>
        <w:tc>
          <w:tcPr>
            <w:tcW w:w="980" w:type="dxa"/>
            <w:noWrap w:val="0"/>
            <w:vAlign w:val="center"/>
          </w:tcPr>
          <w:p>
            <w:pPr>
              <w:jc w:val="center"/>
              <w:rPr>
                <w:rFonts w:hint="eastAsia"/>
                <w:sz w:val="22"/>
                <w:szCs w:val="21"/>
              </w:rPr>
            </w:pPr>
            <w:r>
              <w:rPr>
                <w:rFonts w:hint="eastAsia"/>
                <w:sz w:val="22"/>
                <w:szCs w:val="21"/>
              </w:rPr>
              <w:t>3000</w:t>
            </w:r>
          </w:p>
        </w:tc>
        <w:tc>
          <w:tcPr>
            <w:tcW w:w="950" w:type="dxa"/>
            <w:noWrap w:val="0"/>
            <w:vAlign w:val="center"/>
          </w:tcPr>
          <w:p>
            <w:pPr>
              <w:jc w:val="center"/>
              <w:rPr>
                <w:rFonts w:hint="eastAsia"/>
                <w:sz w:val="22"/>
                <w:szCs w:val="21"/>
              </w:rPr>
            </w:pPr>
            <w:r>
              <w:rPr>
                <w:rFonts w:hint="eastAsia"/>
                <w:sz w:val="22"/>
                <w:szCs w:val="21"/>
              </w:rPr>
              <w:t>2000</w:t>
            </w:r>
          </w:p>
        </w:tc>
        <w:tc>
          <w:tcPr>
            <w:tcW w:w="975" w:type="dxa"/>
            <w:noWrap w:val="0"/>
            <w:vAlign w:val="center"/>
          </w:tcPr>
          <w:p>
            <w:pPr>
              <w:jc w:val="center"/>
              <w:rPr>
                <w:rFonts w:hint="eastAsia"/>
                <w:sz w:val="22"/>
                <w:szCs w:val="21"/>
              </w:rPr>
            </w:pPr>
            <w:r>
              <w:rPr>
                <w:rFonts w:hint="eastAsia"/>
                <w:sz w:val="22"/>
                <w:szCs w:val="21"/>
              </w:rPr>
              <w:t>1000</w:t>
            </w:r>
          </w:p>
        </w:tc>
        <w:tc>
          <w:tcPr>
            <w:tcW w:w="940" w:type="dxa"/>
            <w:noWrap w:val="0"/>
            <w:vAlign w:val="center"/>
          </w:tcPr>
          <w:p>
            <w:pPr>
              <w:jc w:val="center"/>
              <w:rPr>
                <w:rFonts w:hint="eastAsia"/>
                <w:sz w:val="22"/>
                <w:szCs w:val="21"/>
              </w:rPr>
            </w:pPr>
            <w:r>
              <w:rPr>
                <w:rFonts w:hint="eastAsia"/>
                <w:sz w:val="22"/>
                <w:szCs w:val="21"/>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4427" w:type="dxa"/>
            <w:noWrap w:val="0"/>
            <w:vAlign w:val="center"/>
          </w:tcPr>
          <w:p>
            <w:pPr>
              <w:rPr>
                <w:rFonts w:hint="eastAsia"/>
                <w:sz w:val="22"/>
                <w:szCs w:val="21"/>
              </w:rPr>
            </w:pPr>
            <w:r>
              <w:rPr>
                <w:rFonts w:hint="eastAsia"/>
                <w:sz w:val="22"/>
                <w:szCs w:val="21"/>
              </w:rPr>
              <w:t>“外研社杯”全国英语演讲大赛</w:t>
            </w:r>
          </w:p>
        </w:tc>
        <w:tc>
          <w:tcPr>
            <w:tcW w:w="980" w:type="dxa"/>
            <w:noWrap w:val="0"/>
            <w:vAlign w:val="center"/>
          </w:tcPr>
          <w:p>
            <w:pPr>
              <w:jc w:val="center"/>
              <w:rPr>
                <w:rFonts w:hint="eastAsia"/>
                <w:sz w:val="22"/>
                <w:szCs w:val="21"/>
              </w:rPr>
            </w:pPr>
            <w:r>
              <w:rPr>
                <w:rFonts w:hint="eastAsia"/>
                <w:sz w:val="22"/>
                <w:szCs w:val="21"/>
              </w:rPr>
              <w:t>5000</w:t>
            </w:r>
          </w:p>
        </w:tc>
        <w:tc>
          <w:tcPr>
            <w:tcW w:w="950" w:type="dxa"/>
            <w:noWrap w:val="0"/>
            <w:vAlign w:val="center"/>
          </w:tcPr>
          <w:p>
            <w:pPr>
              <w:jc w:val="center"/>
              <w:rPr>
                <w:rFonts w:hint="eastAsia"/>
                <w:sz w:val="22"/>
                <w:szCs w:val="21"/>
              </w:rPr>
            </w:pPr>
            <w:r>
              <w:rPr>
                <w:rFonts w:hint="eastAsia"/>
                <w:sz w:val="22"/>
                <w:szCs w:val="21"/>
              </w:rPr>
              <w:t>4000</w:t>
            </w:r>
          </w:p>
        </w:tc>
        <w:tc>
          <w:tcPr>
            <w:tcW w:w="975" w:type="dxa"/>
            <w:noWrap w:val="0"/>
            <w:vAlign w:val="center"/>
          </w:tcPr>
          <w:p>
            <w:pPr>
              <w:jc w:val="center"/>
              <w:rPr>
                <w:rFonts w:hint="eastAsia"/>
                <w:sz w:val="22"/>
                <w:szCs w:val="21"/>
              </w:rPr>
            </w:pPr>
            <w:r>
              <w:rPr>
                <w:rFonts w:hint="eastAsia"/>
                <w:sz w:val="22"/>
                <w:szCs w:val="21"/>
              </w:rPr>
              <w:t>3000</w:t>
            </w:r>
          </w:p>
        </w:tc>
        <w:tc>
          <w:tcPr>
            <w:tcW w:w="940" w:type="dxa"/>
            <w:noWrap w:val="0"/>
            <w:vAlign w:val="center"/>
          </w:tcPr>
          <w:p>
            <w:pPr>
              <w:jc w:val="center"/>
              <w:rPr>
                <w:rFonts w:hint="eastAsia"/>
                <w:sz w:val="22"/>
                <w:szCs w:val="21"/>
              </w:rPr>
            </w:pPr>
            <w:r>
              <w:rPr>
                <w:rFonts w:hint="eastAsia"/>
                <w:sz w:val="22"/>
                <w:szCs w:val="21"/>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4427" w:type="dxa"/>
            <w:noWrap w:val="0"/>
            <w:vAlign w:val="center"/>
          </w:tcPr>
          <w:p>
            <w:pPr>
              <w:rPr>
                <w:rFonts w:hint="eastAsia"/>
                <w:sz w:val="22"/>
                <w:szCs w:val="21"/>
              </w:rPr>
            </w:pPr>
            <w:r>
              <w:rPr>
                <w:rFonts w:hint="eastAsia"/>
                <w:sz w:val="22"/>
                <w:szCs w:val="21"/>
              </w:rPr>
              <w:t>“外研社杯”全国英语演讲大赛（天津赛区）</w:t>
            </w:r>
          </w:p>
        </w:tc>
        <w:tc>
          <w:tcPr>
            <w:tcW w:w="980" w:type="dxa"/>
            <w:noWrap w:val="0"/>
            <w:vAlign w:val="center"/>
          </w:tcPr>
          <w:p>
            <w:pPr>
              <w:jc w:val="center"/>
              <w:rPr>
                <w:rFonts w:hint="eastAsia"/>
                <w:sz w:val="22"/>
                <w:szCs w:val="21"/>
              </w:rPr>
            </w:pPr>
            <w:r>
              <w:rPr>
                <w:rFonts w:hint="eastAsia"/>
                <w:sz w:val="22"/>
                <w:szCs w:val="21"/>
              </w:rPr>
              <w:t>3000</w:t>
            </w:r>
          </w:p>
        </w:tc>
        <w:tc>
          <w:tcPr>
            <w:tcW w:w="950" w:type="dxa"/>
            <w:noWrap w:val="0"/>
            <w:vAlign w:val="center"/>
          </w:tcPr>
          <w:p>
            <w:pPr>
              <w:jc w:val="center"/>
              <w:rPr>
                <w:rFonts w:hint="eastAsia"/>
                <w:sz w:val="22"/>
                <w:szCs w:val="21"/>
              </w:rPr>
            </w:pPr>
            <w:r>
              <w:rPr>
                <w:rFonts w:hint="eastAsia"/>
                <w:sz w:val="22"/>
                <w:szCs w:val="21"/>
              </w:rPr>
              <w:t>2000</w:t>
            </w:r>
          </w:p>
        </w:tc>
        <w:tc>
          <w:tcPr>
            <w:tcW w:w="975" w:type="dxa"/>
            <w:noWrap w:val="0"/>
            <w:vAlign w:val="center"/>
          </w:tcPr>
          <w:p>
            <w:pPr>
              <w:jc w:val="center"/>
              <w:rPr>
                <w:rFonts w:hint="eastAsia"/>
                <w:sz w:val="22"/>
                <w:szCs w:val="21"/>
              </w:rPr>
            </w:pPr>
            <w:r>
              <w:rPr>
                <w:rFonts w:hint="eastAsia"/>
                <w:sz w:val="22"/>
                <w:szCs w:val="21"/>
              </w:rPr>
              <w:t>1000</w:t>
            </w:r>
          </w:p>
        </w:tc>
        <w:tc>
          <w:tcPr>
            <w:tcW w:w="940" w:type="dxa"/>
            <w:noWrap w:val="0"/>
            <w:vAlign w:val="center"/>
          </w:tcPr>
          <w:p>
            <w:pPr>
              <w:jc w:val="center"/>
              <w:rPr>
                <w:rFonts w:hint="eastAsia"/>
                <w:sz w:val="22"/>
                <w:szCs w:val="21"/>
              </w:rPr>
            </w:pPr>
            <w:r>
              <w:rPr>
                <w:rFonts w:hint="eastAsia"/>
                <w:sz w:val="22"/>
                <w:szCs w:val="21"/>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4427" w:type="dxa"/>
            <w:noWrap w:val="0"/>
            <w:vAlign w:val="center"/>
          </w:tcPr>
          <w:p>
            <w:pPr>
              <w:rPr>
                <w:rFonts w:hint="eastAsia"/>
                <w:sz w:val="22"/>
                <w:szCs w:val="21"/>
              </w:rPr>
            </w:pPr>
            <w:r>
              <w:rPr>
                <w:rFonts w:hint="eastAsia"/>
                <w:sz w:val="22"/>
                <w:szCs w:val="21"/>
              </w:rPr>
              <w:t>全国大学生英语竞赛（天津赛区）</w:t>
            </w:r>
          </w:p>
        </w:tc>
        <w:tc>
          <w:tcPr>
            <w:tcW w:w="980" w:type="dxa"/>
            <w:noWrap w:val="0"/>
            <w:vAlign w:val="center"/>
          </w:tcPr>
          <w:p>
            <w:pPr>
              <w:jc w:val="center"/>
              <w:rPr>
                <w:rFonts w:hint="eastAsia"/>
                <w:sz w:val="22"/>
                <w:szCs w:val="21"/>
              </w:rPr>
            </w:pPr>
            <w:r>
              <w:rPr>
                <w:rFonts w:hint="eastAsia"/>
                <w:sz w:val="22"/>
                <w:szCs w:val="21"/>
              </w:rPr>
              <w:t>3000</w:t>
            </w:r>
          </w:p>
        </w:tc>
        <w:tc>
          <w:tcPr>
            <w:tcW w:w="950" w:type="dxa"/>
            <w:noWrap w:val="0"/>
            <w:vAlign w:val="center"/>
          </w:tcPr>
          <w:p>
            <w:pPr>
              <w:jc w:val="center"/>
              <w:rPr>
                <w:rFonts w:hint="eastAsia"/>
                <w:sz w:val="22"/>
                <w:szCs w:val="21"/>
              </w:rPr>
            </w:pPr>
            <w:r>
              <w:rPr>
                <w:rFonts w:hint="eastAsia"/>
                <w:sz w:val="22"/>
                <w:szCs w:val="21"/>
              </w:rPr>
              <w:t>2000</w:t>
            </w:r>
          </w:p>
        </w:tc>
        <w:tc>
          <w:tcPr>
            <w:tcW w:w="975" w:type="dxa"/>
            <w:noWrap w:val="0"/>
            <w:vAlign w:val="center"/>
          </w:tcPr>
          <w:p>
            <w:pPr>
              <w:jc w:val="center"/>
              <w:rPr>
                <w:rFonts w:hint="eastAsia"/>
                <w:sz w:val="22"/>
                <w:szCs w:val="21"/>
              </w:rPr>
            </w:pPr>
            <w:r>
              <w:rPr>
                <w:rFonts w:hint="eastAsia"/>
                <w:sz w:val="22"/>
                <w:szCs w:val="21"/>
              </w:rPr>
              <w:t>1000</w:t>
            </w:r>
          </w:p>
        </w:tc>
        <w:tc>
          <w:tcPr>
            <w:tcW w:w="940" w:type="dxa"/>
            <w:noWrap w:val="0"/>
            <w:vAlign w:val="center"/>
          </w:tcPr>
          <w:p>
            <w:pPr>
              <w:jc w:val="center"/>
              <w:rPr>
                <w:rFonts w:hint="eastAsia"/>
                <w:sz w:val="22"/>
                <w:szCs w:val="21"/>
              </w:rPr>
            </w:pPr>
            <w:r>
              <w:rPr>
                <w:rFonts w:hint="eastAsia"/>
                <w:sz w:val="22"/>
                <w:szCs w:val="21"/>
              </w:rPr>
              <w:t>500</w:t>
            </w:r>
          </w:p>
        </w:tc>
      </w:tr>
    </w:tbl>
    <w:p>
      <w:pPr>
        <w:adjustRightInd w:val="0"/>
        <w:snapToGrid w:val="0"/>
        <w:spacing w:before="217" w:beforeLines="50" w:line="560" w:lineRule="exact"/>
        <w:ind w:firstLine="560" w:firstLineChars="175"/>
        <w:rPr>
          <w:rFonts w:hint="eastAsia"/>
          <w:szCs w:val="32"/>
        </w:rPr>
      </w:pPr>
      <w:r>
        <w:rPr>
          <w:rFonts w:hint="eastAsia"/>
          <w:szCs w:val="32"/>
        </w:rPr>
        <w:t>6.对于同一学科竞赛，同时获得天津市和国家两个级别的奖项，按最高标准奖励一次。</w:t>
      </w:r>
    </w:p>
    <w:p>
      <w:pPr>
        <w:adjustRightInd w:val="0"/>
        <w:snapToGrid w:val="0"/>
        <w:spacing w:line="560" w:lineRule="exact"/>
        <w:ind w:firstLine="640" w:firstLineChars="200"/>
        <w:rPr>
          <w:rFonts w:hint="eastAsia" w:ascii="黑体" w:eastAsia="黑体"/>
          <w:szCs w:val="32"/>
        </w:rPr>
      </w:pPr>
      <w:r>
        <w:rPr>
          <w:rFonts w:hint="eastAsia" w:ascii="黑体" w:eastAsia="黑体"/>
          <w:szCs w:val="32"/>
        </w:rPr>
        <w:t>五、竞赛经费</w:t>
      </w:r>
    </w:p>
    <w:p>
      <w:pPr>
        <w:adjustRightInd w:val="0"/>
        <w:snapToGrid w:val="0"/>
        <w:spacing w:line="560" w:lineRule="exact"/>
        <w:ind w:firstLine="640" w:firstLineChars="200"/>
        <w:rPr>
          <w:rFonts w:hint="eastAsia"/>
          <w:szCs w:val="32"/>
        </w:rPr>
      </w:pPr>
      <w:r>
        <w:rPr>
          <w:rFonts w:hint="eastAsia"/>
          <w:szCs w:val="32"/>
        </w:rPr>
        <w:t>教学团队计划组织或参加的竞赛（含校级、市级和国家级），须在上一年度末做出经费预算并报教务处，经汇总审核后，由教务处向学校提出经费申请，根据学校经费下拨情况确定竞赛经费。教学团队根据确定的竞赛项目，开展竞赛培训活动。竞赛结束后，承办单位应将费用支付情况分类统计，并报教务处备案。</w:t>
      </w:r>
    </w:p>
    <w:p>
      <w:pPr>
        <w:adjustRightInd w:val="0"/>
        <w:snapToGrid w:val="0"/>
        <w:spacing w:line="560" w:lineRule="exact"/>
        <w:ind w:firstLine="640" w:firstLineChars="200"/>
        <w:rPr>
          <w:rFonts w:hint="eastAsia" w:ascii="黑体" w:eastAsia="黑体"/>
          <w:szCs w:val="32"/>
        </w:rPr>
      </w:pPr>
      <w:r>
        <w:rPr>
          <w:rFonts w:hint="eastAsia" w:ascii="黑体" w:eastAsia="黑体"/>
          <w:szCs w:val="32"/>
        </w:rPr>
        <w:t>六、附则</w:t>
      </w:r>
    </w:p>
    <w:p>
      <w:pPr>
        <w:adjustRightInd w:val="0"/>
        <w:snapToGrid w:val="0"/>
        <w:spacing w:line="560" w:lineRule="exact"/>
        <w:ind w:firstLine="640" w:firstLineChars="200"/>
        <w:rPr>
          <w:szCs w:val="32"/>
        </w:rPr>
      </w:pPr>
      <w:r>
        <w:rPr>
          <w:rFonts w:hint="eastAsia"/>
          <w:szCs w:val="32"/>
        </w:rPr>
        <w:t>本办法自颁布之日起施行，由教务处负责解释。</w:t>
      </w:r>
    </w:p>
    <w:p>
      <w:pPr>
        <w:tabs>
          <w:tab w:val="left" w:pos="5400"/>
        </w:tabs>
        <w:spacing w:after="160" w:line="590" w:lineRule="exact"/>
        <w:rPr>
          <w:rFonts w:hint="eastAsia" w:ascii="宋体" w:hAnsi="宋体"/>
          <w:b/>
          <w:sz w:val="28"/>
        </w:rPr>
      </w:pPr>
    </w:p>
    <w:p>
      <w:pPr>
        <w:tabs>
          <w:tab w:val="left" w:pos="5400"/>
        </w:tabs>
        <w:spacing w:after="160" w:line="590" w:lineRule="exact"/>
        <w:rPr>
          <w:rFonts w:hint="eastAsia" w:ascii="宋体" w:hAnsi="宋体"/>
          <w:b/>
          <w:sz w:val="28"/>
        </w:rPr>
      </w:pPr>
    </w:p>
    <w:p>
      <w:pPr>
        <w:tabs>
          <w:tab w:val="left" w:pos="5400"/>
        </w:tabs>
        <w:spacing w:after="160" w:line="590" w:lineRule="exact"/>
        <w:rPr>
          <w:rFonts w:hint="eastAsia" w:ascii="宋体" w:hAnsi="宋体"/>
          <w:b/>
          <w:sz w:val="28"/>
        </w:rPr>
      </w:pPr>
    </w:p>
    <w:p>
      <w:pPr>
        <w:ind w:left="1120" w:hanging="980" w:hangingChars="350"/>
        <w:rPr>
          <w:rFonts w:hAnsi="宋体"/>
          <w:sz w:val="28"/>
          <w:szCs w:val="28"/>
        </w:rPr>
        <w:sectPr>
          <w:pgSz w:w="11906" w:h="16838"/>
          <w:pgMar w:top="1440" w:right="1800" w:bottom="1440" w:left="1800" w:header="851" w:footer="992" w:gutter="0"/>
          <w:cols w:space="720" w:num="1"/>
          <w:docGrid w:type="lines" w:linePitch="312" w:charSpace="0"/>
        </w:sectPr>
      </w:pP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94464DA"/>
    <w:rsid w:val="59F63F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仿宋_GB2312" w:cs="Times New Roman"/>
      <w:kern w:val="2"/>
      <w:sz w:val="32"/>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rFonts w:ascii="Times New Roman" w:eastAsia="宋体"/>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2021-05-13T03:03:00Z</dcterms:created>
  <dc:creator>Administrator</dc:creator>
  <cp:lastModifiedBy>Administrator</cp:lastModifiedBy>
  <dcterms:modified xsi:type="dcterms:W3CDTF">2021-05-14T01:34:25Z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04ACC54F6B1C48459CD3A565E05F97BC</vt:lpwstr>
  </property>
</Properties>
</file>