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/>
          <w:bCs/>
          <w:sz w:val="24"/>
          <w:highlight w:val="green"/>
        </w:rPr>
      </w:pPr>
      <w:r>
        <w:rPr>
          <w:rFonts w:hint="eastAsia"/>
          <w:b/>
          <w:sz w:val="24"/>
          <w:highlight w:val="green"/>
          <w:lang w:eastAsia="zh-CN"/>
        </w:rPr>
        <w:t>附件：</w:t>
      </w:r>
      <w:r>
        <w:rPr>
          <w:rFonts w:hint="eastAsia"/>
          <w:b/>
          <w:sz w:val="24"/>
          <w:highlight w:val="green"/>
        </w:rPr>
        <w:t>网上申请考试流程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bCs/>
          <w:sz w:val="24"/>
          <w:highlight w:val="green"/>
        </w:rPr>
      </w:pPr>
      <w:r>
        <w:rPr>
          <w:rFonts w:hint="eastAsia"/>
          <w:bCs/>
          <w:sz w:val="24"/>
          <w:highlight w:val="green"/>
        </w:rPr>
        <w:t>1.申请</w:t>
      </w:r>
      <w:r>
        <w:rPr>
          <w:rFonts w:hint="eastAsia"/>
          <w:bCs/>
          <w:sz w:val="24"/>
          <w:highlight w:val="green"/>
          <w:lang w:eastAsia="zh-CN"/>
        </w:rPr>
        <w:t>考试登录方式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eastAsia="宋体"/>
          <w:bCs/>
          <w:sz w:val="24"/>
          <w:highlight w:val="green"/>
          <w:lang w:eastAsia="zh-CN"/>
        </w:rPr>
      </w:pPr>
      <w:r>
        <w:rPr>
          <w:rFonts w:hint="eastAsia"/>
          <w:b/>
          <w:sz w:val="24"/>
          <w:highlight w:val="green"/>
        </w:rPr>
        <w:t>路径一：</w:t>
      </w:r>
      <w:r>
        <w:rPr>
          <w:rFonts w:hint="eastAsia"/>
          <w:bCs/>
          <w:sz w:val="24"/>
          <w:highlight w:val="green"/>
        </w:rPr>
        <w:t>登陆天津科技大学信息门户平台，点击页面中央“应用直通车”一栏的“</w:t>
      </w:r>
      <w:r>
        <w:rPr>
          <w:rFonts w:hint="eastAsia"/>
          <w:bCs/>
          <w:sz w:val="24"/>
          <w:highlight w:val="green"/>
          <w:lang w:eastAsia="zh-CN"/>
        </w:rPr>
        <w:t>综合</w:t>
      </w:r>
      <w:r>
        <w:rPr>
          <w:rFonts w:hint="eastAsia"/>
          <w:bCs/>
          <w:sz w:val="24"/>
          <w:highlight w:val="green"/>
        </w:rPr>
        <w:t>教务系统”图标，进入</w:t>
      </w:r>
      <w:r>
        <w:rPr>
          <w:rFonts w:hint="eastAsia"/>
          <w:bCs/>
          <w:sz w:val="24"/>
          <w:highlight w:val="green"/>
          <w:lang w:eastAsia="zh-CN"/>
        </w:rPr>
        <w:t>“</w:t>
      </w:r>
      <w:r>
        <w:rPr>
          <w:rFonts w:hint="eastAsia" w:ascii="Times New Roman" w:hAnsi="Times New Roman" w:eastAsia="宋体" w:cs="Times New Roman"/>
          <w:bCs/>
          <w:sz w:val="24"/>
          <w:highlight w:val="green"/>
        </w:rPr>
        <w:fldChar w:fldCharType="begin"/>
      </w:r>
      <w:r>
        <w:rPr>
          <w:rFonts w:hint="eastAsia" w:ascii="Times New Roman" w:hAnsi="Times New Roman" w:eastAsia="宋体" w:cs="Times New Roman"/>
          <w:bCs/>
          <w:sz w:val="24"/>
          <w:highlight w:val="green"/>
        </w:rPr>
        <w:instrText xml:space="preserve"> HYPERLINK "http://jwxtjs.tust.edu.cn:47110/" </w:instrText>
      </w:r>
      <w:r>
        <w:rPr>
          <w:rFonts w:hint="eastAsia" w:ascii="Times New Roman" w:hAnsi="Times New Roman" w:eastAsia="宋体" w:cs="Times New Roman"/>
          <w:bCs/>
          <w:sz w:val="24"/>
          <w:highlight w:val="green"/>
        </w:rPr>
        <w:fldChar w:fldCharType="separate"/>
      </w:r>
      <w:r>
        <w:rPr>
          <w:rFonts w:hint="default" w:ascii="Times New Roman" w:hAnsi="Times New Roman" w:eastAsia="宋体" w:cs="Times New Roman"/>
          <w:bCs/>
          <w:sz w:val="24"/>
          <w:highlight w:val="green"/>
        </w:rPr>
        <w:t>URP高校教务管理系统</w:t>
      </w:r>
      <w:r>
        <w:rPr>
          <w:rFonts w:hint="default" w:ascii="Times New Roman" w:hAnsi="Times New Roman" w:eastAsia="宋体" w:cs="Times New Roman"/>
          <w:bCs/>
          <w:sz w:val="24"/>
          <w:highlight w:val="green"/>
        </w:rPr>
        <w:fldChar w:fldCharType="end"/>
      </w:r>
      <w:r>
        <w:rPr>
          <w:rFonts w:hint="eastAsia" w:ascii="Times New Roman" w:hAnsi="Times New Roman" w:eastAsia="宋体" w:cs="Times New Roman"/>
          <w:bCs/>
          <w:sz w:val="24"/>
          <w:highlight w:val="green"/>
          <w:lang w:eastAsia="zh-CN"/>
        </w:rPr>
        <w:t>”</w:t>
      </w:r>
      <w:r>
        <w:rPr>
          <w:rFonts w:hint="eastAsia" w:ascii="Times New Roman" w:hAnsi="Times New Roman" w:eastAsia="宋体" w:cs="Times New Roman"/>
          <w:bCs/>
          <w:sz w:val="24"/>
          <w:highlight w:val="green"/>
        </w:rPr>
        <w:t>主</w:t>
      </w:r>
      <w:r>
        <w:rPr>
          <w:rFonts w:hint="eastAsia"/>
          <w:bCs/>
          <w:sz w:val="24"/>
          <w:highlight w:val="green"/>
        </w:rPr>
        <w:t>页</w:t>
      </w:r>
      <w:r>
        <w:rPr>
          <w:rFonts w:hint="eastAsia"/>
          <w:bCs/>
          <w:sz w:val="24"/>
          <w:highlight w:val="gree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bCs/>
          <w:sz w:val="24"/>
          <w:highlight w:val="green"/>
        </w:rPr>
      </w:pPr>
      <w:r>
        <w:drawing>
          <wp:inline distT="0" distB="0" distL="114300" distR="114300">
            <wp:extent cx="5754370" cy="2586355"/>
            <wp:effectExtent l="0" t="0" r="1778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258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sz w:val="24"/>
          <w:highlight w:val="green"/>
        </w:rPr>
      </w:pPr>
      <w:r>
        <w:rPr>
          <w:rFonts w:hint="eastAsia"/>
          <w:b/>
          <w:sz w:val="24"/>
          <w:highlight w:val="green"/>
        </w:rPr>
        <w:t>路径二：</w:t>
      </w:r>
      <w:r>
        <w:rPr>
          <w:rFonts w:hint="eastAsia"/>
          <w:bCs/>
          <w:sz w:val="24"/>
          <w:highlight w:val="green"/>
        </w:rPr>
        <w:t>在</w:t>
      </w:r>
      <w:r>
        <w:rPr>
          <w:rFonts w:hint="eastAsia"/>
          <w:sz w:val="24"/>
          <w:highlight w:val="green"/>
        </w:rPr>
        <w:t>天津科技大学网站主页下方，直接点击“教师服务”图标，进入教务处</w:t>
      </w:r>
      <w:r>
        <w:rPr>
          <w:rFonts w:hint="eastAsia"/>
          <w:sz w:val="24"/>
          <w:highlight w:val="green"/>
          <w:lang w:eastAsia="zh-CN"/>
        </w:rPr>
        <w:t>网站</w:t>
      </w:r>
      <w:r>
        <w:rPr>
          <w:rFonts w:hint="eastAsia"/>
          <w:sz w:val="24"/>
          <w:highlight w:val="green"/>
        </w:rPr>
        <w:t>主页，</w:t>
      </w:r>
      <w:r>
        <w:rPr>
          <w:rFonts w:hint="eastAsia"/>
          <w:sz w:val="24"/>
          <w:highlight w:val="green"/>
          <w:lang w:eastAsia="zh-CN"/>
        </w:rPr>
        <w:t>在快速导航处点击“教师服务”选择</w:t>
      </w:r>
      <w:r>
        <w:rPr>
          <w:rFonts w:hint="eastAsia"/>
          <w:sz w:val="24"/>
          <w:highlight w:val="green"/>
        </w:rPr>
        <w:t>“</w:t>
      </w:r>
      <w:r>
        <w:rPr>
          <w:rFonts w:hint="eastAsia"/>
          <w:sz w:val="24"/>
          <w:highlight w:val="green"/>
          <w:lang w:eastAsia="zh-CN"/>
        </w:rPr>
        <w:t>综合教务入口（统一认证）</w:t>
      </w:r>
      <w:r>
        <w:rPr>
          <w:rFonts w:hint="eastAsia"/>
          <w:sz w:val="24"/>
          <w:highlight w:val="green"/>
        </w:rPr>
        <w:t>”，输入帐号密码，进入</w:t>
      </w:r>
      <w:r>
        <w:rPr>
          <w:rFonts w:hint="eastAsia"/>
          <w:bCs/>
          <w:sz w:val="24"/>
          <w:highlight w:val="green"/>
          <w:lang w:eastAsia="zh-CN"/>
        </w:rPr>
        <w:t>“</w:t>
      </w:r>
      <w:r>
        <w:rPr>
          <w:rFonts w:hint="eastAsia" w:ascii="Times New Roman" w:hAnsi="Times New Roman" w:eastAsia="宋体" w:cs="Times New Roman"/>
          <w:bCs/>
          <w:sz w:val="24"/>
          <w:highlight w:val="green"/>
        </w:rPr>
        <w:fldChar w:fldCharType="begin"/>
      </w:r>
      <w:r>
        <w:rPr>
          <w:rFonts w:hint="eastAsia" w:ascii="Times New Roman" w:hAnsi="Times New Roman" w:eastAsia="宋体" w:cs="Times New Roman"/>
          <w:bCs/>
          <w:sz w:val="24"/>
          <w:highlight w:val="green"/>
        </w:rPr>
        <w:instrText xml:space="preserve"> HYPERLINK "http://jwxtjs.tust.edu.cn:47110/" </w:instrText>
      </w:r>
      <w:r>
        <w:rPr>
          <w:rFonts w:hint="eastAsia" w:ascii="Times New Roman" w:hAnsi="Times New Roman" w:eastAsia="宋体" w:cs="Times New Roman"/>
          <w:bCs/>
          <w:sz w:val="24"/>
          <w:highlight w:val="green"/>
        </w:rPr>
        <w:fldChar w:fldCharType="separate"/>
      </w:r>
      <w:r>
        <w:rPr>
          <w:rFonts w:hint="default" w:ascii="Times New Roman" w:hAnsi="Times New Roman" w:eastAsia="宋体" w:cs="Times New Roman"/>
          <w:bCs/>
          <w:sz w:val="24"/>
          <w:highlight w:val="green"/>
        </w:rPr>
        <w:t>URP高校教务管理系统</w:t>
      </w:r>
      <w:r>
        <w:rPr>
          <w:rFonts w:hint="default" w:ascii="Times New Roman" w:hAnsi="Times New Roman" w:eastAsia="宋体" w:cs="Times New Roman"/>
          <w:bCs/>
          <w:sz w:val="24"/>
          <w:highlight w:val="green"/>
        </w:rPr>
        <w:fldChar w:fldCharType="end"/>
      </w:r>
      <w:r>
        <w:rPr>
          <w:rFonts w:hint="eastAsia" w:ascii="Times New Roman" w:hAnsi="Times New Roman" w:eastAsia="宋体" w:cs="Times New Roman"/>
          <w:bCs/>
          <w:sz w:val="24"/>
          <w:highlight w:val="green"/>
          <w:lang w:eastAsia="zh-CN"/>
        </w:rPr>
        <w:t>”</w:t>
      </w:r>
      <w:r>
        <w:rPr>
          <w:rFonts w:hint="eastAsia"/>
          <w:sz w:val="24"/>
          <w:highlight w:val="green"/>
        </w:rPr>
        <w:t>主页。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drawing>
          <wp:inline distT="0" distB="0" distL="114300" distR="114300">
            <wp:extent cx="6217920" cy="4077970"/>
            <wp:effectExtent l="0" t="0" r="1143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407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  <w:r>
        <w:drawing>
          <wp:inline distT="0" distB="0" distL="114300" distR="114300">
            <wp:extent cx="6207760" cy="3375025"/>
            <wp:effectExtent l="0" t="0" r="254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7760" cy="337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highlight w:val="gree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highlight w:val="green"/>
        </w:rPr>
      </w:pPr>
      <w:r>
        <w:rPr>
          <w:rFonts w:hint="eastAsia"/>
          <w:sz w:val="24"/>
          <w:highlight w:val="green"/>
          <w:lang w:val="en-US" w:eastAsia="zh-CN"/>
        </w:rPr>
        <w:t>进入</w:t>
      </w:r>
      <w:r>
        <w:rPr>
          <w:rFonts w:hint="eastAsia"/>
          <w:bCs/>
          <w:sz w:val="24"/>
          <w:highlight w:val="green"/>
          <w:lang w:eastAsia="zh-CN"/>
        </w:rPr>
        <w:t>“</w:t>
      </w:r>
      <w:r>
        <w:rPr>
          <w:rFonts w:hint="eastAsia" w:ascii="Times New Roman" w:hAnsi="Times New Roman" w:eastAsia="宋体" w:cs="Times New Roman"/>
          <w:bCs/>
          <w:sz w:val="24"/>
          <w:highlight w:val="green"/>
        </w:rPr>
        <w:fldChar w:fldCharType="begin"/>
      </w:r>
      <w:r>
        <w:rPr>
          <w:rFonts w:hint="eastAsia" w:ascii="Times New Roman" w:hAnsi="Times New Roman" w:eastAsia="宋体" w:cs="Times New Roman"/>
          <w:bCs/>
          <w:sz w:val="24"/>
          <w:highlight w:val="green"/>
        </w:rPr>
        <w:instrText xml:space="preserve"> HYPERLINK "http://jwxtjs.tust.edu.cn:47110/" </w:instrText>
      </w:r>
      <w:r>
        <w:rPr>
          <w:rFonts w:hint="eastAsia" w:ascii="Times New Roman" w:hAnsi="Times New Roman" w:eastAsia="宋体" w:cs="Times New Roman"/>
          <w:bCs/>
          <w:sz w:val="24"/>
          <w:highlight w:val="green"/>
        </w:rPr>
        <w:fldChar w:fldCharType="separate"/>
      </w:r>
      <w:r>
        <w:rPr>
          <w:rFonts w:hint="default" w:ascii="Times New Roman" w:hAnsi="Times New Roman" w:eastAsia="宋体" w:cs="Times New Roman"/>
          <w:bCs/>
          <w:sz w:val="24"/>
          <w:highlight w:val="green"/>
        </w:rPr>
        <w:t>URP高校教务管理系统</w:t>
      </w:r>
      <w:r>
        <w:rPr>
          <w:rFonts w:hint="default" w:ascii="Times New Roman" w:hAnsi="Times New Roman" w:eastAsia="宋体" w:cs="Times New Roman"/>
          <w:bCs/>
          <w:sz w:val="24"/>
          <w:highlight w:val="green"/>
        </w:rPr>
        <w:fldChar w:fldCharType="end"/>
      </w:r>
      <w:r>
        <w:rPr>
          <w:rFonts w:hint="eastAsia" w:ascii="Times New Roman" w:hAnsi="Times New Roman" w:eastAsia="宋体" w:cs="Times New Roman"/>
          <w:bCs/>
          <w:sz w:val="24"/>
          <w:highlight w:val="green"/>
          <w:lang w:eastAsia="zh-CN"/>
        </w:rPr>
        <w:t>”</w:t>
      </w:r>
      <w:r>
        <w:rPr>
          <w:rFonts w:hint="eastAsia"/>
          <w:sz w:val="24"/>
          <w:highlight w:val="green"/>
        </w:rPr>
        <w:t>主页</w:t>
      </w:r>
      <w:r>
        <w:rPr>
          <w:rFonts w:hint="eastAsia"/>
          <w:sz w:val="24"/>
          <w:highlight w:val="green"/>
          <w:lang w:eastAsia="zh-CN"/>
        </w:rPr>
        <w:t>，点击“个人教务”里点击</w:t>
      </w:r>
      <w:r>
        <w:rPr>
          <w:rFonts w:hint="eastAsia"/>
          <w:sz w:val="24"/>
          <w:highlight w:val="green"/>
        </w:rPr>
        <w:t>“</w:t>
      </w:r>
      <w:r>
        <w:rPr>
          <w:rFonts w:hint="eastAsia"/>
          <w:sz w:val="24"/>
          <w:highlight w:val="green"/>
          <w:lang w:eastAsia="zh-CN"/>
        </w:rPr>
        <w:t>考试时间申请</w:t>
      </w:r>
      <w:r>
        <w:rPr>
          <w:rFonts w:hint="eastAsia"/>
          <w:sz w:val="24"/>
          <w:highlight w:val="green"/>
        </w:rPr>
        <w:t>”</w:t>
      </w:r>
      <w:r>
        <w:rPr>
          <w:rFonts w:hint="eastAsia"/>
          <w:sz w:val="24"/>
          <w:highlight w:val="green"/>
          <w:lang w:eastAsia="zh-CN"/>
        </w:rPr>
        <w:t>进行</w:t>
      </w:r>
      <w:r>
        <w:rPr>
          <w:rFonts w:hint="eastAsia"/>
          <w:sz w:val="24"/>
          <w:highlight w:val="green"/>
        </w:rPr>
        <w:t>填写相应数据。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drawing>
          <wp:inline distT="0" distB="0" distL="114300" distR="114300">
            <wp:extent cx="6012815" cy="3673475"/>
            <wp:effectExtent l="0" t="0" r="698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2815" cy="36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highlight w:val="none"/>
          <w:lang w:eastAsia="zh-CN"/>
        </w:rPr>
      </w:pPr>
      <w:r>
        <w:rPr>
          <w:rFonts w:hint="eastAsia"/>
          <w:b/>
          <w:bCs/>
          <w:highlight w:val="none"/>
          <w:lang w:eastAsia="zh-CN"/>
        </w:rPr>
        <w:t>各学院请根据自己日常教学管理规范来进行考试申请。一般分两种情形：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>1.</w:t>
      </w:r>
      <w:r>
        <w:rPr>
          <w:rFonts w:hint="eastAsia"/>
          <w:highlight w:val="none"/>
          <w:lang w:eastAsia="zh-CN"/>
        </w:rPr>
        <w:t>如果是教研室统一申请考试，进入如下界面，教研室负责人按照教研室所开课程点击“操作图标”逐条填写申请。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>2.</w:t>
      </w:r>
      <w:r>
        <w:rPr>
          <w:rFonts w:hint="eastAsia"/>
          <w:highlight w:val="none"/>
          <w:lang w:eastAsia="zh-CN"/>
        </w:rPr>
        <w:t>如果是教师本人申请考试，进入如下界面显示的是自己本学期所开设课程，点击“操作图标”填写申请。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drawing>
          <wp:inline distT="0" distB="0" distL="114300" distR="114300">
            <wp:extent cx="6037580" cy="2491740"/>
            <wp:effectExtent l="0" t="0" r="127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758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/>
          <w:lang w:eastAsia="zh-CN"/>
        </w:rPr>
        <w:t>如课程为随堂考试</w:t>
      </w:r>
      <w:r>
        <w:rPr>
          <w:rFonts w:hint="eastAsia"/>
          <w:b/>
          <w:bCs/>
          <w:highlight w:val="green"/>
          <w:lang w:eastAsia="zh-CN"/>
        </w:rPr>
        <w:t>请先选择“考试方式”，然后点击“是否随堂考”</w:t>
      </w:r>
      <w:r>
        <w:rPr>
          <w:rFonts w:hint="eastAsia"/>
          <w:lang w:eastAsia="zh-CN"/>
        </w:rPr>
        <w:t>，把按钮由“</w:t>
      </w:r>
      <w:r>
        <w:rPr>
          <w:rFonts w:hint="eastAsia"/>
          <w:lang w:val="en-US" w:eastAsia="zh-CN"/>
        </w:rPr>
        <w:t>NO</w:t>
      </w:r>
      <w:r>
        <w:rPr>
          <w:rFonts w:hint="eastAsia"/>
          <w:lang w:eastAsia="zh-CN"/>
        </w:rPr>
        <w:t>”点成“</w:t>
      </w:r>
      <w:r>
        <w:rPr>
          <w:rFonts w:hint="eastAsia"/>
          <w:lang w:val="en-US" w:eastAsia="zh-CN"/>
        </w:rPr>
        <w:t>YES</w:t>
      </w:r>
      <w:r>
        <w:rPr>
          <w:rFonts w:hint="eastAsia"/>
          <w:lang w:eastAsia="zh-CN"/>
        </w:rPr>
        <w:t>”，下面填写项变为灰色界面，点击“确定”按钮，随堂考试申请成功。（以工程力学</w:t>
      </w:r>
      <w:r>
        <w:rPr>
          <w:rFonts w:hint="eastAsia"/>
          <w:lang w:val="en-US" w:eastAsia="zh-CN"/>
        </w:rPr>
        <w:t>C为例）</w:t>
      </w:r>
      <w:r>
        <w:drawing>
          <wp:inline distT="0" distB="0" distL="114300" distR="114300">
            <wp:extent cx="6042660" cy="2543810"/>
            <wp:effectExtent l="0" t="0" r="1524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2660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/>
          <w:lang w:eastAsia="zh-CN"/>
        </w:rPr>
        <w:t>随堂考试申请完后，网页端教务系统没有显示，可在考试申请期间随时修改编辑。</w:t>
      </w:r>
      <w:r>
        <w:drawing>
          <wp:inline distT="0" distB="0" distL="114300" distR="114300">
            <wp:extent cx="6043930" cy="1701800"/>
            <wp:effectExtent l="0" t="0" r="13970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4393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申请随堂考试在综合教务客户端系统中显示如下（学院和教研室可以进行核对、浏览，但不能修改，如需修改需要在考试申请期间在综合教务网页端进行修改）：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drawing>
          <wp:inline distT="0" distB="0" distL="114300" distR="114300">
            <wp:extent cx="6047740" cy="1583690"/>
            <wp:effectExtent l="0" t="0" r="10160" b="165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7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71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highlight w:val="none"/>
        </w:rPr>
      </w:pPr>
      <w:r>
        <w:rPr>
          <w:rFonts w:hint="eastAsia"/>
          <w:sz w:val="24"/>
          <w:highlight w:val="none"/>
        </w:rPr>
        <w:t xml:space="preserve">                                                   </w:t>
      </w:r>
      <w:r>
        <w:rPr>
          <w:rFonts w:hint="eastAsia"/>
          <w:sz w:val="24"/>
          <w:highlight w:val="none"/>
          <w:lang w:val="en-US" w:eastAsia="zh-CN"/>
        </w:rPr>
        <w:t xml:space="preserve">     </w:t>
      </w:r>
      <w:r>
        <w:rPr>
          <w:rFonts w:hint="eastAsia"/>
          <w:sz w:val="24"/>
          <w:highlight w:val="none"/>
        </w:rPr>
        <w:t xml:space="preserve">   </w:t>
      </w:r>
    </w:p>
    <w:p/>
    <w:sectPr>
      <w:pgSz w:w="11906" w:h="16838"/>
      <w:pgMar w:top="1191" w:right="1191" w:bottom="1191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C2CE7A"/>
    <w:multiLevelType w:val="singleLevel"/>
    <w:tmpl w:val="11C2CE7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5FF7CC9"/>
    <w:multiLevelType w:val="singleLevel"/>
    <w:tmpl w:val="75FF7CC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872D3"/>
    <w:rsid w:val="3F0872D3"/>
    <w:rsid w:val="7C8B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2021-04-12T00:52:00Z</dcterms:created>
  <dc:creator>Administrator</dc:creator>
  <cp:lastModifiedBy>Administrator</cp:lastModifiedBy>
  <dcterms:modified xsi:type="dcterms:W3CDTF">2021-04-12T05:17:59Z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DE36BC15F2224E38ADBE5CCA96978F16</vt:lpwstr>
  </property>
</Properties>
</file>